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0802922">
      <w:pPr>
        <w:pStyle w:val="2"/>
        <w:keepNext w:val="0"/>
        <w:keepLines w:val="0"/>
        <w:pageBreakBefore w:val="0"/>
        <w:widowControl w:val="0"/>
        <w:pBdr>
          <w:top w:val="none" w:color="auto" w:sz="0" w:space="0"/>
          <w:bottom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after="0" w:line="606" w:lineRule="exact"/>
        <w:ind w:firstLine="0"/>
        <w:textAlignment w:val="auto"/>
        <w:rPr>
          <w:rFonts w:hint="eastAsia" w:ascii="宋体" w:hAnsi="宋体" w:eastAsia="黑体" w:cs="黑体"/>
          <w:kern w:val="0"/>
          <w:sz w:val="30"/>
          <w:szCs w:val="30"/>
          <w:lang w:val="en-US" w:eastAsia="zh-CN" w:bidi="ar-SA"/>
        </w:rPr>
      </w:pPr>
      <w:bookmarkStart w:id="0" w:name="_GoBack"/>
      <w:r>
        <w:rPr>
          <w:rFonts w:hint="eastAsia" w:ascii="宋体" w:hAnsi="宋体" w:eastAsia="黑体" w:cs="黑体"/>
          <w:kern w:val="0"/>
          <w:sz w:val="30"/>
          <w:szCs w:val="30"/>
          <w:lang w:val="en-US" w:eastAsia="zh-CN" w:bidi="ar-SA"/>
        </w:rPr>
        <w:t>附件1-1</w:t>
      </w:r>
    </w:p>
    <w:bookmarkEnd w:id="0"/>
    <w:p w14:paraId="20DBF427">
      <w:pPr>
        <w:pStyle w:val="2"/>
        <w:keepNext w:val="0"/>
        <w:keepLines w:val="0"/>
        <w:pageBreakBefore w:val="0"/>
        <w:widowControl w:val="0"/>
        <w:pBdr>
          <w:top w:val="none" w:color="auto" w:sz="0" w:space="0"/>
          <w:bottom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after="0" w:line="606" w:lineRule="exact"/>
        <w:ind w:firstLine="0"/>
        <w:jc w:val="center"/>
        <w:textAlignment w:val="auto"/>
        <w:rPr>
          <w:rFonts w:hint="eastAsia" w:ascii="宋体" w:hAnsi="宋体" w:eastAsia="方正小标宋简体" w:cs="方正小标宋简体"/>
          <w:sz w:val="30"/>
          <w:szCs w:val="30"/>
          <w:lang w:val="en-US" w:eastAsia="zh-CN"/>
        </w:rPr>
      </w:pPr>
    </w:p>
    <w:p w14:paraId="5C14F6E6">
      <w:pPr>
        <w:pStyle w:val="2"/>
        <w:keepNext w:val="0"/>
        <w:keepLines w:val="0"/>
        <w:pageBreakBefore w:val="0"/>
        <w:widowControl w:val="0"/>
        <w:pBdr>
          <w:top w:val="none" w:color="auto" w:sz="0" w:space="0"/>
          <w:bottom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after="0" w:line="606" w:lineRule="exact"/>
        <w:ind w:firstLine="0"/>
        <w:jc w:val="center"/>
        <w:textAlignment w:val="auto"/>
        <w:rPr>
          <w:rFonts w:hint="eastAsia" w:ascii="宋体" w:hAnsi="宋体" w:eastAsia="方正小标宋简体" w:cs="方正小标宋简体"/>
          <w:sz w:val="40"/>
          <w:szCs w:val="40"/>
          <w:lang w:val="en-US" w:eastAsia="zh-CN"/>
        </w:rPr>
      </w:pPr>
      <w:r>
        <w:rPr>
          <w:rFonts w:hint="eastAsia" w:ascii="宋体" w:hAnsi="宋体" w:eastAsia="方正小标宋简体" w:cs="方正小标宋简体"/>
          <w:sz w:val="40"/>
          <w:szCs w:val="40"/>
          <w:lang w:val="en-US" w:eastAsia="zh-CN"/>
        </w:rPr>
        <w:t>云南省烟叶种植保险实施方案</w:t>
      </w:r>
    </w:p>
    <w:p w14:paraId="5D82CA42">
      <w:pPr>
        <w:keepNext w:val="0"/>
        <w:keepLines w:val="0"/>
        <w:pageBreakBefore w:val="0"/>
        <w:widowControl w:val="0"/>
        <w:pBdr>
          <w:top w:val="none" w:color="auto" w:sz="0" w:space="0"/>
          <w:bottom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after="0" w:line="606" w:lineRule="exact"/>
        <w:textAlignment w:val="auto"/>
        <w:rPr>
          <w:rFonts w:hint="eastAsia" w:ascii="宋体" w:hAnsi="宋体"/>
          <w:sz w:val="30"/>
          <w:szCs w:val="30"/>
          <w:lang w:val="en-US" w:eastAsia="zh-CN"/>
        </w:rPr>
      </w:pPr>
    </w:p>
    <w:p w14:paraId="3BAB0BE0">
      <w:pPr>
        <w:keepNext w:val="0"/>
        <w:keepLines w:val="0"/>
        <w:pageBreakBefore w:val="0"/>
        <w:widowControl w:val="0"/>
        <w:pBdr>
          <w:top w:val="none" w:color="auto" w:sz="0" w:space="0"/>
          <w:bottom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after="0" w:line="570" w:lineRule="exact"/>
        <w:ind w:firstLine="600" w:firstLineChars="200"/>
        <w:textAlignment w:val="auto"/>
        <w:rPr>
          <w:rFonts w:hint="eastAsia" w:ascii="宋体" w:hAnsi="宋体" w:eastAsia="黑体" w:cs="黑体"/>
          <w:color w:val="auto"/>
          <w:kern w:val="0"/>
          <w:sz w:val="30"/>
          <w:szCs w:val="30"/>
          <w:lang w:val="en-US" w:eastAsia="zh-CN" w:bidi="ar-SA"/>
        </w:rPr>
      </w:pPr>
      <w:r>
        <w:rPr>
          <w:rFonts w:hint="eastAsia" w:ascii="宋体" w:hAnsi="宋体" w:eastAsia="黑体" w:cs="黑体"/>
          <w:color w:val="auto"/>
          <w:kern w:val="0"/>
          <w:sz w:val="30"/>
          <w:szCs w:val="30"/>
          <w:lang w:val="en-US" w:eastAsia="zh-CN" w:bidi="ar-SA"/>
        </w:rPr>
        <w:t>一、保险标的</w:t>
      </w:r>
    </w:p>
    <w:p w14:paraId="0139C975">
      <w:pPr>
        <w:keepNext w:val="0"/>
        <w:keepLines w:val="0"/>
        <w:pageBreakBefore w:val="0"/>
        <w:widowControl w:val="0"/>
        <w:pBdr>
          <w:top w:val="none" w:color="auto" w:sz="0" w:space="0"/>
          <w:bottom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after="0" w:line="574" w:lineRule="exact"/>
        <w:ind w:firstLine="600" w:firstLineChars="200"/>
        <w:textAlignment w:val="auto"/>
        <w:rPr>
          <w:rFonts w:hint="eastAsia" w:ascii="宋体" w:hAnsi="宋体" w:eastAsia="仿宋_GB2312" w:cs="仿宋_GB2312"/>
          <w:color w:val="auto"/>
          <w:kern w:val="0"/>
          <w:sz w:val="30"/>
          <w:szCs w:val="30"/>
          <w:highlight w:val="none"/>
          <w:lang w:val="en-US" w:eastAsia="zh-CN" w:bidi="ar-SA"/>
        </w:rPr>
      </w:pPr>
      <w:r>
        <w:rPr>
          <w:rFonts w:hint="eastAsia" w:ascii="宋体" w:hAnsi="宋体" w:eastAsia="仿宋_GB2312" w:cs="仿宋_GB2312"/>
          <w:color w:val="auto"/>
          <w:kern w:val="0"/>
          <w:sz w:val="30"/>
          <w:szCs w:val="30"/>
          <w:highlight w:val="none"/>
          <w:lang w:val="en-US" w:eastAsia="zh-CN" w:bidi="ar-SA"/>
        </w:rPr>
        <w:t>烟叶种植基础险标的为全省种植的烟叶，烟叶种植提标险标的为云产卷烟高端特色优质烟叶。</w:t>
      </w:r>
    </w:p>
    <w:p w14:paraId="398CD84A">
      <w:pPr>
        <w:keepNext w:val="0"/>
        <w:keepLines w:val="0"/>
        <w:pageBreakBefore w:val="0"/>
        <w:widowControl w:val="0"/>
        <w:numPr>
          <w:ilvl w:val="0"/>
          <w:numId w:val="0"/>
        </w:numPr>
        <w:pBdr>
          <w:top w:val="none" w:color="auto" w:sz="0" w:space="0"/>
          <w:bottom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after="0" w:line="574" w:lineRule="exact"/>
        <w:ind w:firstLine="600" w:firstLineChars="200"/>
        <w:textAlignment w:val="auto"/>
        <w:rPr>
          <w:rFonts w:hint="eastAsia" w:ascii="宋体" w:hAnsi="宋体" w:eastAsia="黑体" w:cs="黑体"/>
          <w:color w:val="auto"/>
          <w:kern w:val="0"/>
          <w:sz w:val="30"/>
          <w:szCs w:val="30"/>
          <w:lang w:val="en-US" w:eastAsia="zh-CN" w:bidi="ar-SA"/>
        </w:rPr>
      </w:pPr>
      <w:r>
        <w:rPr>
          <w:rFonts w:hint="eastAsia" w:ascii="宋体" w:hAnsi="宋体" w:eastAsia="黑体" w:cs="黑体"/>
          <w:color w:val="auto"/>
          <w:kern w:val="0"/>
          <w:sz w:val="30"/>
          <w:szCs w:val="30"/>
          <w:lang w:val="en-US" w:eastAsia="zh-CN" w:bidi="ar-SA"/>
        </w:rPr>
        <w:t>二、保障对象</w:t>
      </w:r>
    </w:p>
    <w:p w14:paraId="151CD217">
      <w:pPr>
        <w:keepNext w:val="0"/>
        <w:keepLines w:val="0"/>
        <w:pageBreakBefore w:val="0"/>
        <w:widowControl w:val="0"/>
        <w:pBdr>
          <w:top w:val="none" w:color="auto" w:sz="0" w:space="0"/>
          <w:bottom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after="0" w:line="574" w:lineRule="exact"/>
        <w:ind w:firstLine="600" w:firstLineChars="200"/>
        <w:textAlignment w:val="auto"/>
        <w:rPr>
          <w:rFonts w:hint="eastAsia" w:ascii="宋体" w:hAnsi="宋体" w:eastAsia="仿宋_GB2312" w:cs="仿宋_GB2312"/>
          <w:color w:val="auto"/>
          <w:kern w:val="0"/>
          <w:sz w:val="30"/>
          <w:szCs w:val="30"/>
          <w:highlight w:val="none"/>
          <w:lang w:val="en-US" w:eastAsia="zh-CN" w:bidi="ar-SA"/>
        </w:rPr>
      </w:pPr>
      <w:r>
        <w:rPr>
          <w:rFonts w:hint="eastAsia" w:ascii="宋体" w:hAnsi="宋体" w:eastAsia="仿宋_GB2312" w:cs="仿宋_GB2312"/>
          <w:color w:val="auto"/>
          <w:kern w:val="0"/>
          <w:sz w:val="30"/>
          <w:szCs w:val="30"/>
          <w:highlight w:val="none"/>
          <w:lang w:val="en-US" w:eastAsia="zh-CN" w:bidi="ar-SA"/>
        </w:rPr>
        <w:t>种植烟叶的烟农。</w:t>
      </w:r>
    </w:p>
    <w:p w14:paraId="6A08C3F8">
      <w:pPr>
        <w:keepNext w:val="0"/>
        <w:keepLines w:val="0"/>
        <w:pageBreakBefore w:val="0"/>
        <w:widowControl w:val="0"/>
        <w:numPr>
          <w:ilvl w:val="0"/>
          <w:numId w:val="0"/>
        </w:numPr>
        <w:pBdr>
          <w:top w:val="none" w:color="auto" w:sz="0" w:space="0"/>
          <w:bottom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after="0" w:line="574" w:lineRule="exact"/>
        <w:ind w:firstLine="600" w:firstLineChars="200"/>
        <w:textAlignment w:val="auto"/>
        <w:rPr>
          <w:rFonts w:hint="eastAsia" w:ascii="宋体" w:hAnsi="宋体" w:eastAsia="黑体" w:cs="黑体"/>
          <w:color w:val="auto"/>
          <w:kern w:val="0"/>
          <w:sz w:val="30"/>
          <w:szCs w:val="30"/>
          <w:highlight w:val="none"/>
          <w:lang w:val="en-US" w:eastAsia="zh-CN" w:bidi="ar-SA"/>
        </w:rPr>
      </w:pPr>
      <w:r>
        <w:rPr>
          <w:rFonts w:hint="eastAsia" w:ascii="宋体" w:hAnsi="宋体" w:eastAsia="黑体" w:cs="黑体"/>
          <w:color w:val="auto"/>
          <w:kern w:val="0"/>
          <w:sz w:val="30"/>
          <w:szCs w:val="30"/>
          <w:lang w:val="en-US" w:eastAsia="zh-CN" w:bidi="ar-SA"/>
        </w:rPr>
        <w:t>三、</w:t>
      </w:r>
      <w:r>
        <w:rPr>
          <w:rFonts w:hint="eastAsia" w:ascii="宋体" w:hAnsi="宋体" w:eastAsia="黑体" w:cs="黑体"/>
          <w:color w:val="auto"/>
          <w:kern w:val="0"/>
          <w:sz w:val="30"/>
          <w:szCs w:val="30"/>
          <w:highlight w:val="none"/>
          <w:lang w:val="en-US" w:eastAsia="zh-CN" w:bidi="ar-SA"/>
        </w:rPr>
        <w:t>投保方式</w:t>
      </w:r>
    </w:p>
    <w:p w14:paraId="3FCE571D">
      <w:pPr>
        <w:keepNext w:val="0"/>
        <w:keepLines w:val="0"/>
        <w:pageBreakBefore w:val="0"/>
        <w:widowControl w:val="0"/>
        <w:numPr>
          <w:ilvl w:val="0"/>
          <w:numId w:val="0"/>
        </w:numPr>
        <w:pBdr>
          <w:top w:val="none" w:color="auto" w:sz="0" w:space="0"/>
          <w:bottom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after="0" w:line="574" w:lineRule="exact"/>
        <w:ind w:firstLine="600" w:firstLineChars="200"/>
        <w:textAlignment w:val="auto"/>
        <w:rPr>
          <w:rFonts w:hint="eastAsia" w:ascii="宋体" w:hAnsi="宋体" w:eastAsia="仿宋_GB2312" w:cs="仿宋_GB2312"/>
          <w:color w:val="auto"/>
          <w:kern w:val="0"/>
          <w:sz w:val="30"/>
          <w:szCs w:val="30"/>
          <w:highlight w:val="none"/>
          <w:lang w:val="en-US" w:eastAsia="zh-CN" w:bidi="ar-SA"/>
        </w:rPr>
      </w:pPr>
      <w:r>
        <w:rPr>
          <w:rFonts w:hint="eastAsia" w:ascii="宋体" w:hAnsi="宋体" w:eastAsia="仿宋_GB2312" w:cs="仿宋_GB2312"/>
          <w:color w:val="auto"/>
          <w:kern w:val="0"/>
          <w:sz w:val="30"/>
          <w:szCs w:val="30"/>
          <w:highlight w:val="none"/>
          <w:lang w:val="en-US" w:eastAsia="zh-CN" w:bidi="ar-SA"/>
        </w:rPr>
        <w:t>烟叶种植基础险（以下简称“基础险”）由烟农与州（市）级</w:t>
      </w:r>
      <w:r>
        <w:rPr>
          <w:rFonts w:hint="eastAsia" w:ascii="宋体" w:hAnsi="宋体" w:eastAsia="仿宋_GB2312" w:cs="仿宋_GB2312"/>
          <w:color w:val="auto"/>
          <w:spacing w:val="-6"/>
          <w:kern w:val="0"/>
          <w:sz w:val="30"/>
          <w:szCs w:val="30"/>
          <w:highlight w:val="none"/>
          <w:lang w:val="en-US" w:eastAsia="zh-CN" w:bidi="ar-SA"/>
        </w:rPr>
        <w:t>烟草公司签订委托投保书面协议，</w:t>
      </w:r>
      <w:r>
        <w:rPr>
          <w:rFonts w:hint="eastAsia" w:ascii="宋体" w:hAnsi="宋体" w:eastAsia="仿宋_GB2312" w:cs="仿宋_GB2312"/>
          <w:color w:val="auto"/>
          <w:spacing w:val="0"/>
          <w:kern w:val="0"/>
          <w:sz w:val="30"/>
          <w:szCs w:val="30"/>
          <w:highlight w:val="none"/>
          <w:lang w:val="en-US" w:eastAsia="zh-CN" w:bidi="ar-SA"/>
        </w:rPr>
        <w:t>州（市）级</w:t>
      </w:r>
      <w:r>
        <w:rPr>
          <w:rFonts w:hint="eastAsia" w:ascii="宋体" w:hAnsi="宋体" w:eastAsia="仿宋_GB2312" w:cs="仿宋_GB2312"/>
          <w:color w:val="auto"/>
          <w:spacing w:val="-6"/>
          <w:kern w:val="0"/>
          <w:sz w:val="30"/>
          <w:szCs w:val="30"/>
          <w:highlight w:val="none"/>
          <w:lang w:val="en-US" w:eastAsia="zh-CN" w:bidi="ar-SA"/>
        </w:rPr>
        <w:t>烟草公司作为投保人</w:t>
      </w:r>
      <w:r>
        <w:rPr>
          <w:rFonts w:hint="eastAsia" w:ascii="宋体" w:hAnsi="宋体" w:eastAsia="仿宋_GB2312" w:cs="仿宋_GB2312"/>
          <w:color w:val="auto"/>
          <w:kern w:val="0"/>
          <w:sz w:val="30"/>
          <w:szCs w:val="30"/>
          <w:highlight w:val="none"/>
          <w:lang w:val="en-US" w:eastAsia="zh-CN" w:bidi="ar-SA"/>
        </w:rPr>
        <w:t>组织投保；烟叶种植提标险（以下简称“提标险”）由烟农委托州（市）级烟办或履行烟办职责的相关单位（部门）作为投保人组织投保。</w:t>
      </w:r>
    </w:p>
    <w:p w14:paraId="36083B08">
      <w:pPr>
        <w:keepNext w:val="0"/>
        <w:keepLines w:val="0"/>
        <w:pageBreakBefore w:val="0"/>
        <w:widowControl w:val="0"/>
        <w:pBdr>
          <w:top w:val="none" w:color="auto" w:sz="0" w:space="0"/>
          <w:bottom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after="0" w:line="574" w:lineRule="exact"/>
        <w:ind w:firstLine="600" w:firstLineChars="200"/>
        <w:textAlignment w:val="auto"/>
        <w:rPr>
          <w:rFonts w:hint="default" w:ascii="宋体" w:hAnsi="宋体" w:eastAsia="黑体" w:cs="黑体"/>
          <w:color w:val="auto"/>
          <w:kern w:val="0"/>
          <w:sz w:val="30"/>
          <w:szCs w:val="30"/>
          <w:lang w:val="en-US" w:eastAsia="zh-CN" w:bidi="ar-SA"/>
        </w:rPr>
      </w:pPr>
      <w:r>
        <w:rPr>
          <w:rFonts w:hint="eastAsia" w:ascii="宋体" w:hAnsi="宋体" w:eastAsia="黑体" w:cs="黑体"/>
          <w:color w:val="auto"/>
          <w:kern w:val="0"/>
          <w:sz w:val="30"/>
          <w:szCs w:val="30"/>
          <w:lang w:val="en-US" w:eastAsia="zh-CN" w:bidi="ar-SA"/>
        </w:rPr>
        <w:t>四、保险责任</w:t>
      </w:r>
    </w:p>
    <w:p w14:paraId="28D12E1F">
      <w:pPr>
        <w:keepNext w:val="0"/>
        <w:keepLines w:val="0"/>
        <w:pageBreakBefore w:val="0"/>
        <w:widowControl w:val="0"/>
        <w:pBdr>
          <w:top w:val="none" w:color="auto" w:sz="0" w:space="0"/>
          <w:bottom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after="0" w:line="574" w:lineRule="exact"/>
        <w:ind w:firstLine="600" w:firstLineChars="200"/>
        <w:textAlignment w:val="auto"/>
        <w:rPr>
          <w:rFonts w:hint="eastAsia" w:ascii="宋体" w:hAnsi="宋体" w:eastAsia="仿宋_GB2312" w:cs="仿宋_GB2312"/>
          <w:color w:val="auto"/>
          <w:kern w:val="0"/>
          <w:sz w:val="30"/>
          <w:szCs w:val="30"/>
          <w:highlight w:val="none"/>
          <w:lang w:val="en-US" w:eastAsia="zh-CN" w:bidi="ar-SA"/>
        </w:rPr>
      </w:pPr>
      <w:r>
        <w:rPr>
          <w:rFonts w:hint="eastAsia" w:ascii="宋体" w:hAnsi="宋体" w:eastAsia="仿宋_GB2312" w:cs="仿宋_GB2312"/>
          <w:color w:val="auto"/>
          <w:kern w:val="0"/>
          <w:sz w:val="30"/>
          <w:szCs w:val="30"/>
          <w:highlight w:val="none"/>
          <w:lang w:val="en-US" w:eastAsia="zh-CN" w:bidi="ar-SA"/>
        </w:rPr>
        <w:t>在保险期限内，由于以下原因造成烟株有效叶片的损失，均属保险赔偿范围：</w:t>
      </w:r>
    </w:p>
    <w:p w14:paraId="4FD24688">
      <w:pPr>
        <w:keepNext w:val="0"/>
        <w:keepLines w:val="0"/>
        <w:pageBreakBefore w:val="0"/>
        <w:widowControl w:val="0"/>
        <w:pBdr>
          <w:top w:val="none" w:color="auto" w:sz="0" w:space="0"/>
          <w:bottom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after="0" w:line="574" w:lineRule="exact"/>
        <w:ind w:firstLine="600" w:firstLineChars="200"/>
        <w:textAlignment w:val="auto"/>
        <w:rPr>
          <w:rFonts w:hint="eastAsia" w:ascii="宋体" w:hAnsi="宋体" w:eastAsia="仿宋_GB2312" w:cs="仿宋_GB2312"/>
          <w:color w:val="auto"/>
          <w:kern w:val="0"/>
          <w:sz w:val="30"/>
          <w:szCs w:val="30"/>
          <w:highlight w:val="none"/>
          <w:lang w:val="en-US" w:eastAsia="zh-CN" w:bidi="ar-SA"/>
        </w:rPr>
      </w:pPr>
      <w:r>
        <w:rPr>
          <w:rFonts w:hint="eastAsia" w:ascii="宋体" w:hAnsi="宋体" w:eastAsia="仿宋_GB2312" w:cs="仿宋_GB2312"/>
          <w:color w:val="auto"/>
          <w:kern w:val="0"/>
          <w:sz w:val="30"/>
          <w:szCs w:val="30"/>
          <w:highlight w:val="none"/>
          <w:lang w:val="en-US" w:eastAsia="zh-CN" w:bidi="ar-SA"/>
        </w:rPr>
        <w:t>（一）冰雹；</w:t>
      </w:r>
    </w:p>
    <w:p w14:paraId="4F5231F9">
      <w:pPr>
        <w:keepNext w:val="0"/>
        <w:keepLines w:val="0"/>
        <w:pageBreakBefore w:val="0"/>
        <w:widowControl w:val="0"/>
        <w:pBdr>
          <w:top w:val="none" w:color="auto" w:sz="0" w:space="0"/>
          <w:bottom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after="0" w:line="574" w:lineRule="exact"/>
        <w:ind w:firstLine="600" w:firstLineChars="200"/>
        <w:textAlignment w:val="auto"/>
        <w:rPr>
          <w:rFonts w:hint="eastAsia" w:ascii="宋体" w:hAnsi="宋体" w:eastAsia="仿宋_GB2312" w:cs="仿宋_GB2312"/>
          <w:color w:val="auto"/>
          <w:kern w:val="0"/>
          <w:sz w:val="30"/>
          <w:szCs w:val="30"/>
          <w:highlight w:val="none"/>
          <w:lang w:val="en-US" w:eastAsia="zh-CN" w:bidi="ar-SA"/>
        </w:rPr>
      </w:pPr>
      <w:r>
        <w:rPr>
          <w:rFonts w:hint="eastAsia" w:ascii="宋体" w:hAnsi="宋体" w:eastAsia="仿宋_GB2312" w:cs="仿宋_GB2312"/>
          <w:color w:val="auto"/>
          <w:kern w:val="0"/>
          <w:sz w:val="30"/>
          <w:szCs w:val="30"/>
          <w:highlight w:val="none"/>
          <w:lang w:val="en-US" w:eastAsia="zh-CN" w:bidi="ar-SA"/>
        </w:rPr>
        <w:t>（二）洪涝（含泥石流）；</w:t>
      </w:r>
    </w:p>
    <w:p w14:paraId="4BBBFB40">
      <w:pPr>
        <w:keepNext w:val="0"/>
        <w:keepLines w:val="0"/>
        <w:pageBreakBefore w:val="0"/>
        <w:widowControl w:val="0"/>
        <w:pBdr>
          <w:top w:val="none" w:color="auto" w:sz="0" w:space="0"/>
          <w:bottom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after="0" w:line="574" w:lineRule="exact"/>
        <w:ind w:firstLine="600" w:firstLineChars="200"/>
        <w:textAlignment w:val="auto"/>
        <w:rPr>
          <w:rFonts w:hint="eastAsia" w:ascii="宋体" w:hAnsi="宋体" w:eastAsia="仿宋_GB2312" w:cs="仿宋_GB2312"/>
          <w:color w:val="auto"/>
          <w:kern w:val="0"/>
          <w:sz w:val="30"/>
          <w:szCs w:val="30"/>
          <w:highlight w:val="none"/>
          <w:lang w:val="en-US" w:eastAsia="zh-CN" w:bidi="ar-SA"/>
        </w:rPr>
      </w:pPr>
      <w:r>
        <w:rPr>
          <w:rFonts w:hint="eastAsia" w:ascii="宋体" w:hAnsi="宋体" w:eastAsia="仿宋_GB2312" w:cs="仿宋_GB2312"/>
          <w:color w:val="auto"/>
          <w:kern w:val="0"/>
          <w:sz w:val="30"/>
          <w:szCs w:val="30"/>
          <w:highlight w:val="none"/>
          <w:lang w:val="en-US" w:eastAsia="zh-CN" w:bidi="ar-SA"/>
        </w:rPr>
        <w:t>（三）风灾；</w:t>
      </w:r>
    </w:p>
    <w:p w14:paraId="759EFEFF">
      <w:pPr>
        <w:keepNext w:val="0"/>
        <w:keepLines w:val="0"/>
        <w:pageBreakBefore w:val="0"/>
        <w:widowControl w:val="0"/>
        <w:pBdr>
          <w:top w:val="none" w:color="auto" w:sz="0" w:space="0"/>
          <w:bottom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after="0" w:line="574" w:lineRule="exact"/>
        <w:ind w:firstLine="600" w:firstLineChars="200"/>
        <w:textAlignment w:val="auto"/>
        <w:rPr>
          <w:rFonts w:hint="eastAsia" w:ascii="宋体" w:hAnsi="宋体" w:eastAsia="仿宋_GB2312" w:cs="仿宋_GB2312"/>
          <w:color w:val="auto"/>
          <w:kern w:val="0"/>
          <w:sz w:val="30"/>
          <w:szCs w:val="30"/>
          <w:highlight w:val="none"/>
          <w:lang w:val="en-US" w:eastAsia="zh-CN" w:bidi="ar-SA"/>
        </w:rPr>
      </w:pPr>
      <w:r>
        <w:rPr>
          <w:rFonts w:hint="eastAsia" w:ascii="宋体" w:hAnsi="宋体" w:eastAsia="仿宋_GB2312" w:cs="仿宋_GB2312"/>
          <w:color w:val="auto"/>
          <w:kern w:val="0"/>
          <w:sz w:val="30"/>
          <w:szCs w:val="30"/>
          <w:highlight w:val="none"/>
          <w:lang w:val="en-US" w:eastAsia="zh-CN" w:bidi="ar-SA"/>
        </w:rPr>
        <w:t>（四）霜冻（仅云南香料烟有限责任公司种植区域纳入保险责任）。</w:t>
      </w:r>
    </w:p>
    <w:p w14:paraId="53FF54EC">
      <w:pPr>
        <w:keepNext w:val="0"/>
        <w:keepLines w:val="0"/>
        <w:pageBreakBefore w:val="0"/>
        <w:widowControl w:val="0"/>
        <w:numPr>
          <w:ilvl w:val="0"/>
          <w:numId w:val="0"/>
        </w:numPr>
        <w:pBdr>
          <w:top w:val="none" w:color="auto" w:sz="0" w:space="0"/>
          <w:bottom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0" w:firstLineChars="0"/>
        <w:textAlignment w:val="auto"/>
        <w:rPr>
          <w:rFonts w:hint="eastAsia" w:ascii="宋体" w:hAnsi="宋体" w:eastAsia="黑体" w:cs="黑体"/>
          <w:color w:val="auto"/>
          <w:kern w:val="0"/>
          <w:sz w:val="30"/>
          <w:szCs w:val="30"/>
          <w:lang w:val="en-US" w:eastAsia="zh-CN" w:bidi="ar-SA"/>
        </w:rPr>
      </w:pPr>
      <w:r>
        <w:rPr>
          <w:rFonts w:hint="eastAsia" w:ascii="宋体" w:hAnsi="宋体" w:eastAsia="黑体" w:cs="黑体"/>
          <w:color w:val="auto"/>
          <w:kern w:val="0"/>
          <w:sz w:val="30"/>
          <w:szCs w:val="30"/>
          <w:lang w:val="en-US" w:eastAsia="zh-CN" w:bidi="ar-SA"/>
        </w:rPr>
        <w:t xml:space="preserve">    五、保险金额和费率</w:t>
      </w:r>
    </w:p>
    <w:p w14:paraId="5C1ADB79">
      <w:pPr>
        <w:keepNext w:val="0"/>
        <w:keepLines w:val="0"/>
        <w:pageBreakBefore w:val="0"/>
        <w:widowControl w:val="0"/>
        <w:pBdr>
          <w:top w:val="none" w:color="auto" w:sz="0" w:space="0"/>
          <w:bottom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00" w:firstLineChars="200"/>
        <w:textAlignment w:val="auto"/>
        <w:rPr>
          <w:rFonts w:hint="eastAsia" w:ascii="宋体" w:hAnsi="宋体" w:eastAsia="仿宋_GB2312" w:cs="仿宋_GB2312"/>
          <w:color w:val="auto"/>
          <w:kern w:val="0"/>
          <w:sz w:val="30"/>
          <w:szCs w:val="30"/>
          <w:highlight w:val="none"/>
          <w:lang w:val="en-US" w:eastAsia="zh-CN" w:bidi="ar-SA"/>
        </w:rPr>
      </w:pPr>
      <w:r>
        <w:rPr>
          <w:rFonts w:hint="eastAsia" w:ascii="宋体" w:hAnsi="宋体" w:eastAsia="仿宋_GB2312" w:cs="仿宋_GB2312"/>
          <w:color w:val="auto"/>
          <w:kern w:val="0"/>
          <w:sz w:val="30"/>
          <w:szCs w:val="30"/>
          <w:highlight w:val="none"/>
          <w:lang w:val="en-US" w:eastAsia="zh-CN" w:bidi="ar-SA"/>
        </w:rPr>
        <w:t>（一）基础险保险金额：1500元/亩</w:t>
      </w:r>
    </w:p>
    <w:p w14:paraId="303467B1">
      <w:pPr>
        <w:keepNext w:val="0"/>
        <w:keepLines w:val="0"/>
        <w:pageBreakBefore w:val="0"/>
        <w:widowControl w:val="0"/>
        <w:pBdr>
          <w:top w:val="none" w:color="auto" w:sz="0" w:space="0"/>
          <w:bottom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00" w:firstLineChars="200"/>
        <w:textAlignment w:val="auto"/>
        <w:rPr>
          <w:rFonts w:hint="eastAsia" w:ascii="宋体" w:hAnsi="宋体" w:eastAsia="仿宋_GB2312" w:cs="仿宋_GB2312"/>
          <w:color w:val="auto"/>
          <w:kern w:val="0"/>
          <w:sz w:val="30"/>
          <w:szCs w:val="30"/>
          <w:highlight w:val="none"/>
          <w:lang w:val="en-US" w:eastAsia="zh-CN" w:bidi="ar-SA"/>
        </w:rPr>
      </w:pPr>
      <w:r>
        <w:rPr>
          <w:rFonts w:hint="eastAsia" w:ascii="宋体" w:hAnsi="宋体" w:eastAsia="仿宋_GB2312" w:cs="仿宋_GB2312"/>
          <w:color w:val="auto"/>
          <w:kern w:val="0"/>
          <w:sz w:val="30"/>
          <w:szCs w:val="30"/>
          <w:highlight w:val="none"/>
          <w:lang w:val="en-US" w:eastAsia="zh-CN" w:bidi="ar-SA"/>
        </w:rPr>
        <w:t>保险费率：4.67%</w:t>
      </w:r>
    </w:p>
    <w:p w14:paraId="2EAED96A">
      <w:pPr>
        <w:keepNext w:val="0"/>
        <w:keepLines w:val="0"/>
        <w:pageBreakBefore w:val="0"/>
        <w:widowControl w:val="0"/>
        <w:pBdr>
          <w:top w:val="none" w:color="auto" w:sz="0" w:space="0"/>
          <w:bottom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00" w:firstLineChars="200"/>
        <w:textAlignment w:val="auto"/>
        <w:rPr>
          <w:rFonts w:hint="eastAsia" w:ascii="宋体" w:hAnsi="宋体" w:eastAsia="仿宋_GB2312" w:cs="仿宋_GB2312"/>
          <w:color w:val="auto"/>
          <w:kern w:val="0"/>
          <w:sz w:val="30"/>
          <w:szCs w:val="30"/>
          <w:highlight w:val="none"/>
          <w:lang w:val="en-US" w:eastAsia="zh-CN" w:bidi="ar-SA"/>
        </w:rPr>
      </w:pPr>
      <w:r>
        <w:rPr>
          <w:rFonts w:hint="eastAsia" w:ascii="宋体" w:hAnsi="宋体" w:eastAsia="仿宋_GB2312" w:cs="仿宋_GB2312"/>
          <w:color w:val="auto"/>
          <w:kern w:val="0"/>
          <w:sz w:val="30"/>
          <w:szCs w:val="30"/>
          <w:highlight w:val="none"/>
          <w:lang w:val="en-US" w:eastAsia="zh-CN" w:bidi="ar-SA"/>
        </w:rPr>
        <w:t>单位保费：70元/亩</w:t>
      </w:r>
    </w:p>
    <w:p w14:paraId="19FB7FA6">
      <w:pPr>
        <w:pStyle w:val="2"/>
        <w:keepNext w:val="0"/>
        <w:keepLines w:val="0"/>
        <w:pageBreakBefore w:val="0"/>
        <w:widowControl w:val="0"/>
        <w:pBdr>
          <w:top w:val="none" w:color="auto" w:sz="0" w:space="0"/>
          <w:bottom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after="0" w:line="604" w:lineRule="exact"/>
        <w:ind w:firstLine="0" w:firstLineChars="0"/>
        <w:jc w:val="center"/>
        <w:textAlignment w:val="auto"/>
        <w:rPr>
          <w:rFonts w:hint="eastAsia" w:ascii="宋体" w:hAnsi="宋体" w:eastAsia="黑体" w:cs="黑体"/>
          <w:color w:val="auto"/>
          <w:kern w:val="2"/>
          <w:sz w:val="30"/>
          <w:szCs w:val="30"/>
          <w:lang w:val="en-US" w:eastAsia="zh-CN"/>
        </w:rPr>
      </w:pPr>
      <w:r>
        <w:rPr>
          <w:rFonts w:hint="eastAsia" w:ascii="宋体" w:hAnsi="宋体" w:eastAsia="黑体" w:cs="黑体"/>
          <w:color w:val="auto"/>
          <w:kern w:val="2"/>
          <w:sz w:val="30"/>
          <w:szCs w:val="30"/>
          <w:lang w:val="en-US" w:eastAsia="zh-CN"/>
        </w:rPr>
        <w:t>保费承担情况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85"/>
        <w:gridCol w:w="2610"/>
      </w:tblGrid>
      <w:tr w14:paraId="7D33A4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C4E913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>
                <w:top w:val="none" w:color="auto" w:sz="0" w:space="0"/>
                <w:bottom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40" w:lineRule="exact"/>
              <w:ind w:firstLine="0" w:firstLineChars="0"/>
              <w:jc w:val="center"/>
              <w:textAlignment w:val="auto"/>
              <w:rPr>
                <w:rFonts w:hint="eastAsia" w:ascii="宋体" w:hAnsi="宋体" w:eastAsia="黑体" w:cs="黑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黑体" w:cs="黑体"/>
                <w:color w:val="auto"/>
                <w:sz w:val="24"/>
                <w:szCs w:val="24"/>
                <w:lang w:val="en-US" w:eastAsia="zh-CN"/>
              </w:rPr>
              <w:t>省级</w:t>
            </w:r>
          </w:p>
        </w:tc>
        <w:tc>
          <w:tcPr>
            <w:tcW w:w="26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C4F766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>
                <w:top w:val="none" w:color="auto" w:sz="0" w:space="0"/>
                <w:bottom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40" w:lineRule="exact"/>
              <w:ind w:firstLine="0" w:firstLineChars="0"/>
              <w:jc w:val="center"/>
              <w:textAlignment w:val="auto"/>
              <w:rPr>
                <w:rFonts w:hint="eastAsia" w:ascii="宋体" w:hAnsi="宋体" w:eastAsia="黑体" w:cs="黑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黑体" w:cs="黑体"/>
                <w:color w:val="auto"/>
                <w:sz w:val="24"/>
                <w:szCs w:val="24"/>
                <w:lang w:val="en-US" w:eastAsia="zh-CN"/>
              </w:rPr>
              <w:t>农户</w:t>
            </w:r>
          </w:p>
        </w:tc>
      </w:tr>
      <w:tr w14:paraId="3F708B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0AF11D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>
                <w:top w:val="none" w:color="auto" w:sz="0" w:space="0"/>
                <w:bottom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 w:firstLineChars="0"/>
              <w:jc w:val="center"/>
              <w:textAlignment w:val="auto"/>
              <w:rPr>
                <w:rFonts w:hint="default" w:ascii="宋体" w:hAnsi="宋体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仿宋_GB2312" w:cs="仿宋_GB2312"/>
                <w:color w:val="auto"/>
                <w:sz w:val="24"/>
                <w:szCs w:val="24"/>
                <w:lang w:val="en-US" w:eastAsia="zh-CN"/>
              </w:rPr>
              <w:t>56元/亩</w:t>
            </w:r>
          </w:p>
        </w:tc>
        <w:tc>
          <w:tcPr>
            <w:tcW w:w="26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6375E4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>
                <w:top w:val="none" w:color="auto" w:sz="0" w:space="0"/>
                <w:bottom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 w:firstLineChars="0"/>
              <w:jc w:val="center"/>
              <w:textAlignment w:val="auto"/>
              <w:rPr>
                <w:rFonts w:hint="default" w:ascii="宋体" w:hAnsi="宋体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仿宋_GB2312" w:cs="仿宋_GB2312"/>
                <w:color w:val="auto"/>
                <w:sz w:val="24"/>
                <w:szCs w:val="24"/>
                <w:lang w:val="en-US" w:eastAsia="zh-CN"/>
              </w:rPr>
              <w:t>14元/亩</w:t>
            </w:r>
          </w:p>
        </w:tc>
      </w:tr>
    </w:tbl>
    <w:p w14:paraId="61F92ECC">
      <w:pPr>
        <w:keepNext w:val="0"/>
        <w:keepLines w:val="0"/>
        <w:pageBreakBefore w:val="0"/>
        <w:widowControl w:val="0"/>
        <w:pBdr>
          <w:top w:val="none" w:color="auto" w:sz="0" w:space="0"/>
          <w:bottom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00" w:firstLineChars="200"/>
        <w:textAlignment w:val="auto"/>
        <w:rPr>
          <w:rFonts w:hint="eastAsia" w:ascii="宋体" w:hAnsi="宋体" w:eastAsia="仿宋_GB2312" w:cs="仿宋_GB2312"/>
          <w:color w:val="auto"/>
          <w:kern w:val="0"/>
          <w:sz w:val="30"/>
          <w:szCs w:val="30"/>
          <w:highlight w:val="none"/>
          <w:lang w:val="en-US" w:eastAsia="zh-CN" w:bidi="ar-SA"/>
        </w:rPr>
      </w:pPr>
      <w:r>
        <w:rPr>
          <w:rFonts w:hint="eastAsia" w:ascii="宋体" w:hAnsi="宋体" w:eastAsia="仿宋_GB2312" w:cs="仿宋_GB2312"/>
          <w:color w:val="auto"/>
          <w:kern w:val="0"/>
          <w:sz w:val="30"/>
          <w:szCs w:val="30"/>
          <w:highlight w:val="none"/>
          <w:lang w:val="en-US" w:eastAsia="zh-CN" w:bidi="ar-SA"/>
        </w:rPr>
        <w:t>（二）提标险保险金额：2000元/亩</w:t>
      </w:r>
    </w:p>
    <w:p w14:paraId="318525E9">
      <w:pPr>
        <w:keepNext w:val="0"/>
        <w:keepLines w:val="0"/>
        <w:pageBreakBefore w:val="0"/>
        <w:widowControl w:val="0"/>
        <w:pBdr>
          <w:top w:val="none" w:color="auto" w:sz="0" w:space="0"/>
          <w:bottom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00" w:firstLineChars="200"/>
        <w:textAlignment w:val="auto"/>
        <w:rPr>
          <w:rFonts w:hint="eastAsia" w:ascii="宋体" w:hAnsi="宋体" w:eastAsia="仿宋_GB2312" w:cs="仿宋_GB2312"/>
          <w:color w:val="auto"/>
          <w:kern w:val="0"/>
          <w:sz w:val="30"/>
          <w:szCs w:val="30"/>
          <w:highlight w:val="none"/>
          <w:lang w:val="en-US" w:eastAsia="zh-CN" w:bidi="ar-SA"/>
        </w:rPr>
      </w:pPr>
      <w:r>
        <w:rPr>
          <w:rFonts w:hint="eastAsia" w:ascii="宋体" w:hAnsi="宋体" w:eastAsia="仿宋_GB2312" w:cs="仿宋_GB2312"/>
          <w:color w:val="auto"/>
          <w:kern w:val="0"/>
          <w:sz w:val="30"/>
          <w:szCs w:val="30"/>
          <w:highlight w:val="none"/>
          <w:lang w:val="en-US" w:eastAsia="zh-CN" w:bidi="ar-SA"/>
        </w:rPr>
        <w:t>保险费率：5%</w:t>
      </w:r>
    </w:p>
    <w:p w14:paraId="4DE1EEFB">
      <w:pPr>
        <w:keepNext w:val="0"/>
        <w:keepLines w:val="0"/>
        <w:pageBreakBefore w:val="0"/>
        <w:widowControl w:val="0"/>
        <w:pBdr>
          <w:top w:val="none" w:color="auto" w:sz="0" w:space="0"/>
          <w:bottom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00" w:firstLineChars="200"/>
        <w:textAlignment w:val="auto"/>
        <w:rPr>
          <w:rFonts w:hint="eastAsia" w:ascii="宋体" w:hAnsi="宋体" w:eastAsia="仿宋_GB2312" w:cs="仿宋_GB2312"/>
          <w:color w:val="auto"/>
          <w:kern w:val="0"/>
          <w:sz w:val="30"/>
          <w:szCs w:val="30"/>
          <w:highlight w:val="none"/>
          <w:lang w:val="en-US" w:eastAsia="zh-CN" w:bidi="ar-SA"/>
        </w:rPr>
      </w:pPr>
      <w:r>
        <w:rPr>
          <w:rFonts w:hint="eastAsia" w:ascii="宋体" w:hAnsi="宋体" w:eastAsia="仿宋_GB2312" w:cs="仿宋_GB2312"/>
          <w:color w:val="auto"/>
          <w:kern w:val="0"/>
          <w:sz w:val="30"/>
          <w:szCs w:val="30"/>
          <w:highlight w:val="none"/>
          <w:lang w:val="en-US" w:eastAsia="zh-CN" w:bidi="ar-SA"/>
        </w:rPr>
        <w:t>单位保费：100元/亩</w:t>
      </w:r>
    </w:p>
    <w:p w14:paraId="3FB32C04">
      <w:pPr>
        <w:pStyle w:val="2"/>
        <w:keepNext w:val="0"/>
        <w:keepLines w:val="0"/>
        <w:pageBreakBefore w:val="0"/>
        <w:widowControl w:val="0"/>
        <w:pBdr>
          <w:top w:val="none" w:color="auto" w:sz="0" w:space="0"/>
          <w:bottom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after="0" w:line="604" w:lineRule="exact"/>
        <w:ind w:firstLine="0" w:firstLineChars="0"/>
        <w:jc w:val="center"/>
        <w:textAlignment w:val="auto"/>
        <w:rPr>
          <w:rFonts w:hint="eastAsia" w:ascii="宋体" w:hAnsi="宋体" w:eastAsia="黑体" w:cs="黑体"/>
          <w:color w:val="auto"/>
          <w:kern w:val="2"/>
          <w:sz w:val="30"/>
          <w:szCs w:val="30"/>
          <w:lang w:val="en-US" w:eastAsia="zh-CN"/>
        </w:rPr>
      </w:pPr>
      <w:r>
        <w:rPr>
          <w:rFonts w:hint="eastAsia" w:ascii="宋体" w:hAnsi="宋体" w:eastAsia="黑体" w:cs="黑体"/>
          <w:color w:val="auto"/>
          <w:kern w:val="2"/>
          <w:sz w:val="30"/>
          <w:szCs w:val="30"/>
          <w:lang w:val="en-US" w:eastAsia="zh-CN"/>
        </w:rPr>
        <w:t>保费承担情况</w:t>
      </w:r>
    </w:p>
    <w:tbl>
      <w:tblPr>
        <w:tblStyle w:val="5"/>
        <w:tblpPr w:leftFromText="180" w:rightFromText="180" w:vertAnchor="text" w:horzAnchor="page" w:tblpXSpec="center" w:tblpY="13"/>
        <w:tblOverlap w:val="never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85"/>
        <w:gridCol w:w="2610"/>
      </w:tblGrid>
      <w:tr w14:paraId="770864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621A1E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>
                <w:top w:val="none" w:color="auto" w:sz="0" w:space="0"/>
                <w:bottom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40" w:lineRule="exact"/>
              <w:ind w:firstLine="0" w:firstLineChars="0"/>
              <w:jc w:val="center"/>
              <w:textAlignment w:val="auto"/>
              <w:rPr>
                <w:rFonts w:hint="eastAsia" w:ascii="宋体" w:hAnsi="宋体" w:eastAsia="黑体" w:cs="黑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黑体" w:cs="黑体"/>
                <w:color w:val="auto"/>
                <w:sz w:val="24"/>
                <w:szCs w:val="24"/>
                <w:lang w:val="en-US" w:eastAsia="zh-CN"/>
              </w:rPr>
              <w:t>省级</w:t>
            </w:r>
          </w:p>
        </w:tc>
        <w:tc>
          <w:tcPr>
            <w:tcW w:w="26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BB48C1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>
                <w:top w:val="none" w:color="auto" w:sz="0" w:space="0"/>
                <w:bottom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40" w:lineRule="exact"/>
              <w:ind w:firstLine="0" w:firstLineChars="0"/>
              <w:jc w:val="center"/>
              <w:textAlignment w:val="auto"/>
              <w:rPr>
                <w:rFonts w:hint="default" w:ascii="宋体" w:hAnsi="宋体" w:eastAsia="黑体" w:cs="黑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黑体" w:cs="黑体"/>
                <w:color w:val="auto"/>
                <w:sz w:val="24"/>
                <w:szCs w:val="24"/>
                <w:lang w:val="en-US" w:eastAsia="zh-CN"/>
              </w:rPr>
              <w:t>农户</w:t>
            </w:r>
          </w:p>
        </w:tc>
      </w:tr>
      <w:tr w14:paraId="1EF67A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ED8C38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>
                <w:top w:val="none" w:color="auto" w:sz="0" w:space="0"/>
                <w:bottom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 w:firstLineChars="0"/>
              <w:jc w:val="center"/>
              <w:textAlignment w:val="auto"/>
              <w:rPr>
                <w:rFonts w:hint="default" w:ascii="宋体" w:hAnsi="宋体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仿宋_GB2312" w:cs="仿宋_GB2312"/>
                <w:color w:val="auto"/>
                <w:sz w:val="24"/>
                <w:szCs w:val="24"/>
                <w:lang w:val="en-US" w:eastAsia="zh-CN"/>
              </w:rPr>
              <w:t>100元/亩</w:t>
            </w:r>
          </w:p>
        </w:tc>
        <w:tc>
          <w:tcPr>
            <w:tcW w:w="26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316E90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>
                <w:top w:val="none" w:color="auto" w:sz="0" w:space="0"/>
                <w:bottom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 w:firstLineChars="0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仿宋_GB2312" w:cs="仿宋_GB2312"/>
                <w:color w:val="auto"/>
                <w:sz w:val="24"/>
                <w:szCs w:val="24"/>
                <w:lang w:val="en-US" w:eastAsia="zh-CN"/>
              </w:rPr>
              <w:t>0元/亩</w:t>
            </w:r>
          </w:p>
        </w:tc>
      </w:tr>
    </w:tbl>
    <w:p w14:paraId="602364FC">
      <w:pPr>
        <w:keepNext w:val="0"/>
        <w:keepLines w:val="0"/>
        <w:pageBreakBefore w:val="0"/>
        <w:widowControl w:val="0"/>
        <w:pBdr>
          <w:top w:val="none" w:color="auto" w:sz="0" w:space="0"/>
          <w:bottom w:val="none" w:color="auto" w:sz="0" w:space="0"/>
        </w:pBdr>
        <w:kinsoku/>
        <w:wordWrap/>
        <w:overflowPunct/>
        <w:topLinePunct w:val="0"/>
        <w:bidi w:val="0"/>
        <w:spacing w:line="590" w:lineRule="exact"/>
        <w:rPr>
          <w:rFonts w:hint="eastAsia" w:ascii="宋体" w:hAnsi="宋体"/>
          <w:sz w:val="30"/>
          <w:szCs w:val="30"/>
          <w:lang w:val="en-US" w:eastAsia="zh-CN"/>
        </w:rPr>
      </w:pPr>
    </w:p>
    <w:p w14:paraId="554F9A4A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00" w:lineRule="exact"/>
        <w:ind w:firstLine="629"/>
        <w:textAlignment w:val="auto"/>
        <w:rPr>
          <w:rFonts w:hint="eastAsia" w:ascii="宋体" w:hAnsi="宋体"/>
          <w:lang w:val="en-US" w:eastAsia="zh-CN"/>
        </w:rPr>
      </w:pPr>
    </w:p>
    <w:p w14:paraId="423677E0">
      <w:pPr>
        <w:keepNext w:val="0"/>
        <w:keepLines w:val="0"/>
        <w:pageBreakBefore w:val="0"/>
        <w:widowControl w:val="0"/>
        <w:pBdr>
          <w:top w:val="none" w:color="auto" w:sz="0" w:space="0"/>
          <w:bottom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after="0" w:line="550" w:lineRule="exact"/>
        <w:ind w:firstLine="600" w:firstLineChars="200"/>
        <w:textAlignment w:val="auto"/>
        <w:rPr>
          <w:rFonts w:hint="default" w:ascii="宋体" w:hAnsi="宋体" w:eastAsia="黑体" w:cs="黑体"/>
          <w:color w:val="auto"/>
          <w:kern w:val="0"/>
          <w:sz w:val="30"/>
          <w:szCs w:val="30"/>
          <w:lang w:val="en-US" w:eastAsia="zh-CN" w:bidi="ar-SA"/>
        </w:rPr>
      </w:pPr>
      <w:r>
        <w:rPr>
          <w:rFonts w:hint="eastAsia" w:ascii="宋体" w:hAnsi="宋体" w:eastAsia="黑体" w:cs="黑体"/>
          <w:color w:val="auto"/>
          <w:kern w:val="0"/>
          <w:sz w:val="30"/>
          <w:szCs w:val="30"/>
          <w:lang w:val="en-US" w:eastAsia="zh-CN" w:bidi="ar-SA"/>
        </w:rPr>
        <w:t>六、保险期限</w:t>
      </w:r>
    </w:p>
    <w:p w14:paraId="76EC2AD1">
      <w:pPr>
        <w:keepNext w:val="0"/>
        <w:keepLines w:val="0"/>
        <w:pageBreakBefore w:val="0"/>
        <w:widowControl w:val="0"/>
        <w:pBdr>
          <w:top w:val="none" w:color="auto" w:sz="0" w:space="0"/>
          <w:bottom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after="0" w:line="550" w:lineRule="exact"/>
        <w:ind w:firstLine="600" w:firstLineChars="200"/>
        <w:textAlignment w:val="auto"/>
        <w:rPr>
          <w:rFonts w:hint="eastAsia" w:ascii="宋体" w:hAnsi="宋体" w:eastAsia="仿宋_GB2312" w:cs="仿宋_GB2312"/>
          <w:color w:val="auto"/>
          <w:kern w:val="0"/>
          <w:sz w:val="30"/>
          <w:szCs w:val="30"/>
          <w:highlight w:val="none"/>
          <w:lang w:val="en-US" w:eastAsia="zh-CN" w:bidi="ar-SA"/>
        </w:rPr>
      </w:pPr>
      <w:r>
        <w:rPr>
          <w:rFonts w:hint="eastAsia" w:ascii="宋体" w:hAnsi="宋体" w:eastAsia="仿宋_GB2312" w:cs="仿宋_GB2312"/>
          <w:color w:val="auto"/>
          <w:kern w:val="0"/>
          <w:sz w:val="30"/>
          <w:szCs w:val="30"/>
          <w:highlight w:val="none"/>
          <w:lang w:val="en-US" w:eastAsia="zh-CN" w:bidi="ar-SA"/>
        </w:rPr>
        <w:t>每年自烟叶移栽大田成活后至有效叶片采摘完毕为止，具体保险起止期限可根据实际种植情况确定。</w:t>
      </w:r>
    </w:p>
    <w:p w14:paraId="10F37D79">
      <w:pPr>
        <w:keepNext w:val="0"/>
        <w:keepLines w:val="0"/>
        <w:pageBreakBefore w:val="0"/>
        <w:widowControl w:val="0"/>
        <w:pBdr>
          <w:top w:val="none" w:color="auto" w:sz="0" w:space="0"/>
          <w:bottom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after="0" w:line="550" w:lineRule="exact"/>
        <w:ind w:firstLine="600" w:firstLineChars="200"/>
        <w:textAlignment w:val="auto"/>
        <w:rPr>
          <w:rFonts w:hint="eastAsia" w:ascii="宋体" w:hAnsi="宋体" w:eastAsia="仿宋_GB2312" w:cs="仿宋_GB2312"/>
          <w:color w:val="auto"/>
          <w:kern w:val="0"/>
          <w:sz w:val="30"/>
          <w:szCs w:val="30"/>
          <w:highlight w:val="none"/>
          <w:lang w:val="en-US" w:eastAsia="zh-CN" w:bidi="ar-SA"/>
        </w:rPr>
      </w:pPr>
      <w:r>
        <w:rPr>
          <w:rFonts w:hint="eastAsia" w:ascii="宋体" w:hAnsi="宋体" w:eastAsia="黑体" w:cs="黑体"/>
          <w:color w:val="auto"/>
          <w:kern w:val="0"/>
          <w:sz w:val="30"/>
          <w:szCs w:val="30"/>
          <w:lang w:val="en-US" w:eastAsia="zh-CN" w:bidi="ar-SA"/>
        </w:rPr>
        <w:t>七、赔偿处理</w:t>
      </w:r>
    </w:p>
    <w:p w14:paraId="388958CE">
      <w:pPr>
        <w:keepNext w:val="0"/>
        <w:keepLines w:val="0"/>
        <w:pageBreakBefore w:val="0"/>
        <w:widowControl w:val="0"/>
        <w:pBdr>
          <w:top w:val="none" w:color="auto" w:sz="0" w:space="0"/>
          <w:bottom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after="0" w:line="550" w:lineRule="exact"/>
        <w:ind w:firstLine="600" w:firstLineChars="200"/>
        <w:textAlignment w:val="auto"/>
        <w:rPr>
          <w:rFonts w:hint="eastAsia" w:ascii="宋体" w:hAnsi="宋体" w:eastAsia="仿宋_GB2312" w:cs="仿宋_GB2312"/>
          <w:color w:val="auto"/>
          <w:kern w:val="0"/>
          <w:sz w:val="30"/>
          <w:szCs w:val="30"/>
          <w:highlight w:val="none"/>
          <w:lang w:val="en-US" w:eastAsia="zh-CN" w:bidi="ar-SA"/>
        </w:rPr>
      </w:pPr>
      <w:r>
        <w:rPr>
          <w:rFonts w:hint="eastAsia" w:ascii="宋体" w:hAnsi="宋体" w:eastAsia="仿宋_GB2312" w:cs="仿宋_GB2312"/>
          <w:color w:val="auto"/>
          <w:kern w:val="0"/>
          <w:sz w:val="30"/>
          <w:szCs w:val="30"/>
          <w:highlight w:val="none"/>
          <w:lang w:val="en-US" w:eastAsia="zh-CN" w:bidi="ar-SA"/>
        </w:rPr>
        <w:t>灾害损失认定工作按照《云南省烟叶种植保险灾害损失认定办法》实施。现场查勘定损结果由烟农代表、保险公司人员和州（市）级烟草公司工作人员填制确认单并签字认定。确认单一式三份，烟农代表、保险公司和州（市）级烟草公司各执一份。</w:t>
      </w:r>
    </w:p>
    <w:p w14:paraId="18E4218F">
      <w:pPr>
        <w:keepNext w:val="0"/>
        <w:keepLines w:val="0"/>
        <w:pageBreakBefore w:val="0"/>
        <w:widowControl w:val="0"/>
        <w:pBdr>
          <w:top w:val="none" w:color="auto" w:sz="0" w:space="0"/>
          <w:bottom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after="0" w:line="550" w:lineRule="exact"/>
        <w:ind w:firstLine="600" w:firstLineChars="200"/>
        <w:textAlignment w:val="auto"/>
        <w:rPr>
          <w:rFonts w:hint="default" w:ascii="宋体" w:hAnsi="宋体" w:eastAsia="仿宋_GB2312" w:cs="仿宋_GB2312"/>
          <w:color w:val="auto"/>
          <w:kern w:val="0"/>
          <w:sz w:val="30"/>
          <w:szCs w:val="30"/>
          <w:highlight w:val="none"/>
          <w:lang w:val="en-US" w:eastAsia="zh-CN" w:bidi="ar-SA"/>
        </w:rPr>
      </w:pPr>
      <w:r>
        <w:rPr>
          <w:rFonts w:hint="default" w:ascii="宋体" w:hAnsi="宋体" w:eastAsia="仿宋_GB2312" w:cs="仿宋_GB2312"/>
          <w:color w:val="auto"/>
          <w:kern w:val="0"/>
          <w:sz w:val="30"/>
          <w:szCs w:val="30"/>
          <w:highlight w:val="none"/>
          <w:lang w:val="en-US" w:eastAsia="zh-CN" w:bidi="ar-SA"/>
        </w:rPr>
        <w:t>（</w:t>
      </w:r>
      <w:r>
        <w:rPr>
          <w:rFonts w:hint="eastAsia" w:ascii="宋体" w:hAnsi="宋体" w:eastAsia="仿宋_GB2312" w:cs="仿宋_GB2312"/>
          <w:color w:val="auto"/>
          <w:kern w:val="0"/>
          <w:sz w:val="30"/>
          <w:szCs w:val="30"/>
          <w:highlight w:val="none"/>
          <w:lang w:val="en-US" w:eastAsia="zh-CN" w:bidi="ar-SA"/>
        </w:rPr>
        <w:t>一</w:t>
      </w:r>
      <w:r>
        <w:rPr>
          <w:rFonts w:hint="default" w:ascii="宋体" w:hAnsi="宋体" w:eastAsia="仿宋_GB2312" w:cs="仿宋_GB2312"/>
          <w:color w:val="auto"/>
          <w:kern w:val="0"/>
          <w:sz w:val="30"/>
          <w:szCs w:val="30"/>
          <w:highlight w:val="none"/>
          <w:lang w:val="en-US" w:eastAsia="zh-CN" w:bidi="ar-SA"/>
        </w:rPr>
        <w:t>）灾害赔付金额按实际损失程度和赔付标准计算。</w:t>
      </w:r>
    </w:p>
    <w:p w14:paraId="29180292">
      <w:pPr>
        <w:keepNext w:val="0"/>
        <w:keepLines w:val="0"/>
        <w:pageBreakBefore w:val="0"/>
        <w:widowControl w:val="0"/>
        <w:pBdr>
          <w:top w:val="none" w:color="auto" w:sz="0" w:space="0"/>
          <w:bottom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00" w:firstLineChars="200"/>
        <w:textAlignment w:val="auto"/>
        <w:rPr>
          <w:rFonts w:hint="default" w:ascii="宋体" w:hAnsi="宋体" w:eastAsia="仿宋_GB2312" w:cs="仿宋_GB2312"/>
          <w:color w:val="auto"/>
          <w:kern w:val="0"/>
          <w:sz w:val="30"/>
          <w:szCs w:val="30"/>
          <w:highlight w:val="none"/>
          <w:lang w:val="en-US" w:eastAsia="zh-CN" w:bidi="ar-SA"/>
        </w:rPr>
      </w:pPr>
      <w:r>
        <w:rPr>
          <w:rFonts w:hint="default" w:ascii="宋体" w:hAnsi="宋体" w:eastAsia="仿宋_GB2312" w:cs="仿宋_GB2312"/>
          <w:color w:val="auto"/>
          <w:kern w:val="0"/>
          <w:sz w:val="30"/>
          <w:szCs w:val="30"/>
          <w:highlight w:val="none"/>
          <w:lang w:val="en-US" w:eastAsia="zh-CN" w:bidi="ar-SA"/>
        </w:rPr>
        <w:t>实际受损赔付金额=各阶段全损每亩赔付标准</w:t>
      </w:r>
      <w:r>
        <w:rPr>
          <w:rFonts w:hint="eastAsia" w:ascii="宋体" w:hAnsi="宋体" w:eastAsia="仿宋_GB2312" w:cs="仿宋_GB2312"/>
          <w:color w:val="auto"/>
          <w:kern w:val="0"/>
          <w:sz w:val="30"/>
          <w:szCs w:val="30"/>
          <w:highlight w:val="none"/>
          <w:lang w:val="en-US" w:eastAsia="zh-CN" w:bidi="ar-SA"/>
        </w:rPr>
        <w:t>×</w:t>
      </w:r>
      <w:r>
        <w:rPr>
          <w:rFonts w:hint="default" w:ascii="宋体" w:hAnsi="宋体" w:eastAsia="仿宋_GB2312" w:cs="仿宋_GB2312"/>
          <w:color w:val="auto"/>
          <w:kern w:val="0"/>
          <w:sz w:val="30"/>
          <w:szCs w:val="30"/>
          <w:highlight w:val="none"/>
          <w:lang w:val="en-US" w:eastAsia="zh-CN" w:bidi="ar-SA"/>
        </w:rPr>
        <w:t>损失程度</w:t>
      </w:r>
      <w:r>
        <w:rPr>
          <w:rFonts w:hint="eastAsia" w:ascii="宋体" w:hAnsi="宋体" w:eastAsia="仿宋_GB2312" w:cs="仿宋_GB2312"/>
          <w:color w:val="auto"/>
          <w:kern w:val="0"/>
          <w:sz w:val="30"/>
          <w:szCs w:val="30"/>
          <w:highlight w:val="none"/>
          <w:lang w:val="en-US" w:eastAsia="zh-CN" w:bidi="ar-SA"/>
        </w:rPr>
        <w:t>×</w:t>
      </w:r>
      <w:r>
        <w:rPr>
          <w:rFonts w:hint="default" w:ascii="宋体" w:hAnsi="宋体" w:eastAsia="仿宋_GB2312" w:cs="仿宋_GB2312"/>
          <w:color w:val="auto"/>
          <w:kern w:val="0"/>
          <w:sz w:val="30"/>
          <w:szCs w:val="30"/>
          <w:highlight w:val="none"/>
          <w:lang w:val="en-US" w:eastAsia="zh-CN" w:bidi="ar-SA"/>
        </w:rPr>
        <w:t>受损面积</w:t>
      </w:r>
      <w:r>
        <w:rPr>
          <w:rFonts w:hint="eastAsia" w:ascii="宋体" w:hAnsi="宋体" w:eastAsia="仿宋_GB2312" w:cs="仿宋_GB2312"/>
          <w:color w:val="auto"/>
          <w:kern w:val="0"/>
          <w:sz w:val="30"/>
          <w:szCs w:val="30"/>
          <w:highlight w:val="none"/>
          <w:lang w:val="en-US" w:eastAsia="zh-CN" w:bidi="ar-SA"/>
        </w:rPr>
        <w:t>。</w:t>
      </w:r>
    </w:p>
    <w:p w14:paraId="4C78C2CB">
      <w:pPr>
        <w:keepNext w:val="0"/>
        <w:keepLines w:val="0"/>
        <w:pageBreakBefore w:val="0"/>
        <w:widowControl w:val="0"/>
        <w:pBdr>
          <w:top w:val="none" w:color="auto" w:sz="0" w:space="0"/>
          <w:bottom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after="0" w:line="570" w:lineRule="exact"/>
        <w:ind w:firstLine="600" w:firstLineChars="200"/>
        <w:textAlignment w:val="auto"/>
        <w:rPr>
          <w:rFonts w:hint="default" w:ascii="宋体" w:hAnsi="宋体" w:eastAsia="仿宋_GB2312" w:cs="仿宋_GB2312"/>
          <w:color w:val="auto"/>
          <w:kern w:val="0"/>
          <w:sz w:val="30"/>
          <w:szCs w:val="30"/>
          <w:highlight w:val="none"/>
          <w:lang w:val="en-US" w:eastAsia="zh-CN" w:bidi="ar-SA"/>
        </w:rPr>
      </w:pPr>
      <w:r>
        <w:rPr>
          <w:rFonts w:hint="default" w:ascii="宋体" w:hAnsi="宋体" w:eastAsia="仿宋_GB2312" w:cs="仿宋_GB2312"/>
          <w:color w:val="auto"/>
          <w:kern w:val="0"/>
          <w:sz w:val="30"/>
          <w:szCs w:val="30"/>
          <w:highlight w:val="none"/>
          <w:lang w:val="en-US" w:eastAsia="zh-CN" w:bidi="ar-SA"/>
        </w:rPr>
        <w:t>损失程度=抽样地点受损叶片总数÷（保险单约定单株有效叶片</w:t>
      </w:r>
      <w:r>
        <w:rPr>
          <w:rFonts w:hint="eastAsia" w:ascii="宋体" w:hAnsi="宋体" w:eastAsia="仿宋_GB2312" w:cs="仿宋_GB2312"/>
          <w:color w:val="auto"/>
          <w:kern w:val="0"/>
          <w:sz w:val="30"/>
          <w:szCs w:val="30"/>
          <w:highlight w:val="none"/>
          <w:lang w:val="en-US" w:eastAsia="zh-CN" w:bidi="ar-SA"/>
        </w:rPr>
        <w:t>×</w:t>
      </w:r>
      <w:r>
        <w:rPr>
          <w:rFonts w:hint="default" w:ascii="宋体" w:hAnsi="宋体" w:eastAsia="仿宋_GB2312" w:cs="仿宋_GB2312"/>
          <w:color w:val="auto"/>
          <w:kern w:val="0"/>
          <w:sz w:val="30"/>
          <w:szCs w:val="30"/>
          <w:highlight w:val="none"/>
          <w:lang w:val="en-US" w:eastAsia="zh-CN" w:bidi="ar-SA"/>
        </w:rPr>
        <w:t>抽样地点烟叶总株数）。</w:t>
      </w:r>
    </w:p>
    <w:p w14:paraId="58ABC775">
      <w:pPr>
        <w:keepNext w:val="0"/>
        <w:keepLines w:val="0"/>
        <w:pageBreakBefore w:val="0"/>
        <w:widowControl w:val="0"/>
        <w:pBdr>
          <w:top w:val="none" w:color="auto" w:sz="0" w:space="0"/>
          <w:bottom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after="0" w:line="570" w:lineRule="exact"/>
        <w:ind w:firstLine="600" w:firstLineChars="200"/>
        <w:textAlignment w:val="auto"/>
        <w:rPr>
          <w:rFonts w:hint="default" w:ascii="宋体" w:hAnsi="宋体" w:eastAsia="仿宋_GB2312" w:cs="仿宋_GB2312"/>
          <w:color w:val="auto"/>
          <w:kern w:val="0"/>
          <w:sz w:val="30"/>
          <w:szCs w:val="30"/>
          <w:highlight w:val="none"/>
          <w:lang w:val="en-US" w:eastAsia="zh-CN" w:bidi="ar-SA"/>
        </w:rPr>
      </w:pPr>
      <w:r>
        <w:rPr>
          <w:rFonts w:hint="default" w:ascii="宋体" w:hAnsi="宋体" w:eastAsia="仿宋_GB2312" w:cs="仿宋_GB2312"/>
          <w:color w:val="auto"/>
          <w:kern w:val="0"/>
          <w:sz w:val="30"/>
          <w:szCs w:val="30"/>
          <w:highlight w:val="none"/>
          <w:lang w:val="en-US" w:eastAsia="zh-CN" w:bidi="ar-SA"/>
        </w:rPr>
        <w:t>保险单约定单株有效叶片：除杈叶外，都是有效叶片。烟叶团棵期每株烤烟有效叶片为12片，团棵期至成熟采烤期每株烤烟有效叶片为18片（不含优化烟叶结构田间需清除的不适用叶片）。其他特色烟叶品种有效叶片数量以云南省烟草公司确定的规范为准。</w:t>
      </w:r>
    </w:p>
    <w:p w14:paraId="54BAD2FF">
      <w:pPr>
        <w:keepNext w:val="0"/>
        <w:keepLines w:val="0"/>
        <w:pageBreakBefore w:val="0"/>
        <w:widowControl w:val="0"/>
        <w:pBdr>
          <w:top w:val="none" w:color="auto" w:sz="0" w:space="0"/>
          <w:bottom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after="0" w:line="570" w:lineRule="exact"/>
        <w:ind w:firstLine="600" w:firstLineChars="200"/>
        <w:textAlignment w:val="auto"/>
        <w:rPr>
          <w:rFonts w:hint="default" w:ascii="宋体" w:hAnsi="宋体" w:eastAsia="仿宋_GB2312" w:cs="仿宋_GB2312"/>
          <w:color w:val="auto"/>
          <w:kern w:val="0"/>
          <w:sz w:val="30"/>
          <w:szCs w:val="30"/>
          <w:highlight w:val="none"/>
          <w:lang w:val="en-US" w:eastAsia="zh-CN" w:bidi="ar-SA"/>
        </w:rPr>
      </w:pPr>
      <w:r>
        <w:rPr>
          <w:rFonts w:hint="default" w:ascii="宋体" w:hAnsi="宋体" w:eastAsia="仿宋_GB2312" w:cs="仿宋_GB2312"/>
          <w:color w:val="auto"/>
          <w:kern w:val="0"/>
          <w:sz w:val="30"/>
          <w:szCs w:val="30"/>
          <w:highlight w:val="none"/>
          <w:lang w:val="en-US" w:eastAsia="zh-CN" w:bidi="ar-SA"/>
        </w:rPr>
        <w:t>（</w:t>
      </w:r>
      <w:r>
        <w:rPr>
          <w:rFonts w:hint="eastAsia" w:ascii="宋体" w:hAnsi="宋体" w:eastAsia="仿宋_GB2312" w:cs="仿宋_GB2312"/>
          <w:color w:val="auto"/>
          <w:kern w:val="0"/>
          <w:sz w:val="30"/>
          <w:szCs w:val="30"/>
          <w:highlight w:val="none"/>
          <w:lang w:val="en-US" w:eastAsia="zh-CN" w:bidi="ar-SA"/>
        </w:rPr>
        <w:t>二</w:t>
      </w:r>
      <w:r>
        <w:rPr>
          <w:rFonts w:hint="default" w:ascii="宋体" w:hAnsi="宋体" w:eastAsia="仿宋_GB2312" w:cs="仿宋_GB2312"/>
          <w:color w:val="auto"/>
          <w:kern w:val="0"/>
          <w:sz w:val="30"/>
          <w:szCs w:val="30"/>
          <w:highlight w:val="none"/>
          <w:lang w:val="en-US" w:eastAsia="zh-CN" w:bidi="ar-SA"/>
        </w:rPr>
        <w:t>）移栽15天内如果发生自然灾害导致烟苗全损，并及时补种烟苗，保险公司仅赔付补种成本（烟苗</w:t>
      </w:r>
      <w:r>
        <w:rPr>
          <w:rFonts w:hint="eastAsia" w:ascii="宋体" w:hAnsi="宋体" w:eastAsia="仿宋_GB2312" w:cs="仿宋_GB2312"/>
          <w:color w:val="auto"/>
          <w:kern w:val="0"/>
          <w:sz w:val="30"/>
          <w:szCs w:val="30"/>
          <w:highlight w:val="none"/>
          <w:lang w:val="en-US" w:eastAsia="zh-CN" w:bidi="ar-SA"/>
        </w:rPr>
        <w:t>、</w:t>
      </w:r>
      <w:r>
        <w:rPr>
          <w:rFonts w:hint="default" w:ascii="宋体" w:hAnsi="宋体" w:eastAsia="仿宋_GB2312" w:cs="仿宋_GB2312"/>
          <w:color w:val="auto"/>
          <w:kern w:val="0"/>
          <w:sz w:val="30"/>
          <w:szCs w:val="30"/>
          <w:highlight w:val="none"/>
          <w:lang w:val="en-US" w:eastAsia="zh-CN" w:bidi="ar-SA"/>
        </w:rPr>
        <w:t>化肥</w:t>
      </w:r>
      <w:r>
        <w:rPr>
          <w:rFonts w:hint="eastAsia" w:ascii="宋体" w:hAnsi="宋体" w:eastAsia="仿宋_GB2312" w:cs="仿宋_GB2312"/>
          <w:color w:val="auto"/>
          <w:kern w:val="0"/>
          <w:sz w:val="30"/>
          <w:szCs w:val="30"/>
          <w:highlight w:val="none"/>
          <w:lang w:val="en-US" w:eastAsia="zh-CN" w:bidi="ar-SA"/>
        </w:rPr>
        <w:t>、</w:t>
      </w:r>
      <w:r>
        <w:rPr>
          <w:rFonts w:hint="default" w:ascii="宋体" w:hAnsi="宋体" w:eastAsia="仿宋_GB2312" w:cs="仿宋_GB2312"/>
          <w:color w:val="auto"/>
          <w:kern w:val="0"/>
          <w:sz w:val="30"/>
          <w:szCs w:val="30"/>
          <w:highlight w:val="none"/>
          <w:lang w:val="en-US" w:eastAsia="zh-CN" w:bidi="ar-SA"/>
        </w:rPr>
        <w:t>地膜等），最多不超过全损最高赔付标准，保险公司继续承担该地块保险责任。如移栽后16天到团棵期前、团棵到现蕾期、成熟采烤期发生全损，核损赔付后，该地块的保险责任终止。</w:t>
      </w:r>
    </w:p>
    <w:p w14:paraId="2DAC19DC">
      <w:pPr>
        <w:keepNext w:val="0"/>
        <w:keepLines w:val="0"/>
        <w:pageBreakBefore w:val="0"/>
        <w:widowControl w:val="0"/>
        <w:pBdr>
          <w:top w:val="none" w:color="auto" w:sz="0" w:space="0"/>
          <w:bottom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after="0" w:line="570" w:lineRule="exact"/>
        <w:ind w:firstLine="600" w:firstLineChars="200"/>
        <w:textAlignment w:val="auto"/>
        <w:rPr>
          <w:rFonts w:hint="eastAsia" w:ascii="宋体" w:hAnsi="宋体" w:eastAsia="仿宋_GB2312" w:cs="仿宋_GB2312"/>
          <w:color w:val="auto"/>
          <w:kern w:val="0"/>
          <w:sz w:val="30"/>
          <w:szCs w:val="30"/>
          <w:highlight w:val="none"/>
          <w:lang w:val="en-US" w:eastAsia="zh-CN" w:bidi="ar-SA"/>
        </w:rPr>
      </w:pPr>
      <w:r>
        <w:rPr>
          <w:rFonts w:hint="default" w:ascii="宋体" w:hAnsi="宋体" w:eastAsia="仿宋_GB2312" w:cs="仿宋_GB2312"/>
          <w:color w:val="auto"/>
          <w:kern w:val="0"/>
          <w:sz w:val="30"/>
          <w:szCs w:val="30"/>
          <w:highlight w:val="none"/>
          <w:lang w:val="en-US" w:eastAsia="zh-CN" w:bidi="ar-SA"/>
        </w:rPr>
        <w:t>（</w:t>
      </w:r>
      <w:r>
        <w:rPr>
          <w:rFonts w:hint="eastAsia" w:ascii="宋体" w:hAnsi="宋体" w:eastAsia="仿宋_GB2312" w:cs="仿宋_GB2312"/>
          <w:color w:val="auto"/>
          <w:kern w:val="0"/>
          <w:sz w:val="30"/>
          <w:szCs w:val="30"/>
          <w:highlight w:val="none"/>
          <w:lang w:val="en-US" w:eastAsia="zh-CN" w:bidi="ar-SA"/>
        </w:rPr>
        <w:t>三</w:t>
      </w:r>
      <w:r>
        <w:rPr>
          <w:rFonts w:hint="default" w:ascii="宋体" w:hAnsi="宋体" w:eastAsia="仿宋_GB2312" w:cs="仿宋_GB2312"/>
          <w:color w:val="auto"/>
          <w:kern w:val="0"/>
          <w:sz w:val="30"/>
          <w:szCs w:val="30"/>
          <w:highlight w:val="none"/>
          <w:lang w:val="en-US" w:eastAsia="zh-CN" w:bidi="ar-SA"/>
        </w:rPr>
        <w:t>）生长周期划分四个时间段：第一阶段，烟叶从移栽之日起十五天；第二阶段，移栽后第十六天到团棵期前；第三阶段，烟叶从团棵到现蕾期；第四阶段，成熟采烤期。第二至第四阶段烟叶生长周期按烟叶植株生长形态确定。</w:t>
      </w:r>
      <w:r>
        <w:rPr>
          <w:rFonts w:hint="eastAsia" w:ascii="宋体" w:hAnsi="宋体" w:eastAsia="仿宋_GB2312" w:cs="仿宋_GB2312"/>
          <w:color w:val="auto"/>
          <w:kern w:val="0"/>
          <w:sz w:val="30"/>
          <w:szCs w:val="30"/>
          <w:highlight w:val="none"/>
          <w:lang w:val="en-US" w:eastAsia="zh-CN" w:bidi="ar-SA"/>
        </w:rPr>
        <w:t>烟叶种植保险各阶段最高赔付金额详见下表。</w:t>
      </w:r>
    </w:p>
    <w:p w14:paraId="7E2CEEBE">
      <w:pPr>
        <w:pStyle w:val="2"/>
        <w:keepNext w:val="0"/>
        <w:keepLines w:val="0"/>
        <w:pageBreakBefore w:val="0"/>
        <w:widowControl w:val="0"/>
        <w:pBdr>
          <w:top w:val="none" w:color="auto" w:sz="0" w:space="0"/>
          <w:bottom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after="0" w:line="590" w:lineRule="exact"/>
        <w:ind w:firstLine="0" w:firstLineChars="0"/>
        <w:jc w:val="center"/>
        <w:textAlignment w:val="auto"/>
        <w:rPr>
          <w:rFonts w:hint="default" w:ascii="宋体" w:hAnsi="宋体" w:eastAsia="黑体" w:cs="黑体"/>
          <w:color w:val="auto"/>
          <w:kern w:val="2"/>
          <w:sz w:val="30"/>
          <w:szCs w:val="30"/>
          <w:lang w:val="en-US" w:eastAsia="zh-CN"/>
        </w:rPr>
      </w:pPr>
      <w:r>
        <w:rPr>
          <w:rFonts w:hint="default" w:ascii="宋体" w:hAnsi="宋体" w:eastAsia="黑体" w:cs="黑体"/>
          <w:color w:val="auto"/>
          <w:kern w:val="2"/>
          <w:sz w:val="30"/>
          <w:szCs w:val="30"/>
          <w:lang w:val="en-US" w:eastAsia="zh-CN"/>
        </w:rPr>
        <w:t>烟叶种植保险各阶段最高赔付金额</w:t>
      </w:r>
    </w:p>
    <w:tbl>
      <w:tblPr>
        <w:tblStyle w:val="5"/>
        <w:tblW w:w="7739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910"/>
        <w:gridCol w:w="3829"/>
      </w:tblGrid>
      <w:tr w14:paraId="172B06B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  <w:jc w:val="center"/>
        </w:trPr>
        <w:tc>
          <w:tcPr>
            <w:tcW w:w="3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01C425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>
                <w:top w:val="none" w:color="auto" w:sz="0" w:space="0"/>
                <w:bottom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ind w:firstLine="0" w:firstLineChars="0"/>
              <w:jc w:val="center"/>
              <w:textAlignment w:val="auto"/>
              <w:rPr>
                <w:rFonts w:hint="eastAsia" w:ascii="宋体" w:hAnsi="宋体" w:eastAsia="黑体" w:cs="黑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黑体" w:cs="黑体"/>
                <w:color w:val="auto"/>
                <w:sz w:val="24"/>
                <w:szCs w:val="24"/>
                <w:lang w:val="en-US" w:eastAsia="zh-CN"/>
              </w:rPr>
              <w:t>生长期</w:t>
            </w:r>
          </w:p>
        </w:tc>
        <w:tc>
          <w:tcPr>
            <w:tcW w:w="38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5594D2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>
                <w:top w:val="none" w:color="auto" w:sz="0" w:space="0"/>
                <w:bottom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ind w:firstLine="0" w:firstLineChars="0"/>
              <w:jc w:val="center"/>
              <w:textAlignment w:val="auto"/>
              <w:rPr>
                <w:rFonts w:hint="eastAsia" w:ascii="宋体" w:hAnsi="宋体" w:eastAsia="黑体" w:cs="黑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黑体" w:cs="黑体"/>
                <w:color w:val="auto"/>
                <w:sz w:val="24"/>
                <w:szCs w:val="24"/>
                <w:lang w:val="en-US" w:eastAsia="zh-CN"/>
              </w:rPr>
              <w:t>全损每亩最高赔付金额</w:t>
            </w:r>
          </w:p>
        </w:tc>
      </w:tr>
      <w:tr w14:paraId="288682B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39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AEAFCD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>
                <w:top w:val="none" w:color="auto" w:sz="0" w:space="0"/>
                <w:bottom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ind w:firstLine="0" w:firstLineChars="0"/>
              <w:jc w:val="center"/>
              <w:textAlignment w:val="auto"/>
              <w:rPr>
                <w:rFonts w:hint="default" w:ascii="宋体" w:hAnsi="宋体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仿宋_GB2312" w:cs="仿宋_GB2312"/>
                <w:color w:val="auto"/>
                <w:sz w:val="24"/>
                <w:szCs w:val="24"/>
                <w:lang w:val="en-US" w:eastAsia="zh-CN"/>
              </w:rPr>
              <w:t>移栽之日起十五天</w:t>
            </w:r>
          </w:p>
        </w:tc>
        <w:tc>
          <w:tcPr>
            <w:tcW w:w="38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96D35C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>
                <w:top w:val="none" w:color="auto" w:sz="0" w:space="0"/>
                <w:bottom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ind w:firstLine="0" w:firstLineChars="0"/>
              <w:jc w:val="center"/>
              <w:textAlignment w:val="auto"/>
              <w:rPr>
                <w:rFonts w:hint="default" w:ascii="宋体" w:hAnsi="宋体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仿宋_GB2312" w:cs="仿宋_GB2312"/>
                <w:color w:val="auto"/>
                <w:sz w:val="24"/>
                <w:szCs w:val="24"/>
                <w:lang w:val="en-US" w:eastAsia="zh-CN"/>
              </w:rPr>
              <w:t>每亩保险金额</w:t>
            </w:r>
            <w:r>
              <w:rPr>
                <w:rFonts w:hint="eastAsia" w:ascii="宋体" w:hAnsi="宋体" w:eastAsia="仿宋_GB2312" w:cs="仿宋_GB2312"/>
                <w:color w:val="auto"/>
                <w:sz w:val="24"/>
                <w:szCs w:val="24"/>
                <w:lang w:val="en-US" w:eastAsia="zh-CN"/>
              </w:rPr>
              <w:t>×</w:t>
            </w:r>
            <w:r>
              <w:rPr>
                <w:rFonts w:hint="default" w:ascii="宋体" w:hAnsi="宋体" w:eastAsia="仿宋_GB2312" w:cs="仿宋_GB2312"/>
                <w:color w:val="auto"/>
                <w:sz w:val="24"/>
                <w:szCs w:val="24"/>
                <w:lang w:val="en-US" w:eastAsia="zh-CN"/>
              </w:rPr>
              <w:t>16%</w:t>
            </w:r>
          </w:p>
        </w:tc>
      </w:tr>
      <w:tr w14:paraId="3273F90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  <w:jc w:val="center"/>
        </w:trPr>
        <w:tc>
          <w:tcPr>
            <w:tcW w:w="39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137ACB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>
                <w:top w:val="none" w:color="auto" w:sz="0" w:space="0"/>
                <w:bottom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ind w:firstLine="0" w:firstLineChars="0"/>
              <w:jc w:val="center"/>
              <w:textAlignment w:val="auto"/>
              <w:rPr>
                <w:rFonts w:hint="default" w:ascii="宋体" w:hAnsi="宋体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仿宋_GB2312" w:cs="仿宋_GB2312"/>
                <w:color w:val="auto"/>
                <w:sz w:val="24"/>
                <w:szCs w:val="24"/>
                <w:lang w:val="en-US" w:eastAsia="zh-CN"/>
              </w:rPr>
              <w:t>移栽后十六天至团棵期前</w:t>
            </w:r>
          </w:p>
        </w:tc>
        <w:tc>
          <w:tcPr>
            <w:tcW w:w="38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94C0E2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>
                <w:top w:val="none" w:color="auto" w:sz="0" w:space="0"/>
                <w:bottom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ind w:firstLine="0" w:firstLineChars="0"/>
              <w:jc w:val="center"/>
              <w:textAlignment w:val="auto"/>
              <w:rPr>
                <w:rFonts w:hint="default" w:ascii="宋体" w:hAnsi="宋体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仿宋_GB2312" w:cs="仿宋_GB2312"/>
                <w:color w:val="auto"/>
                <w:sz w:val="24"/>
                <w:szCs w:val="24"/>
                <w:lang w:val="en-US" w:eastAsia="zh-CN"/>
              </w:rPr>
              <w:t>每亩保险金额</w:t>
            </w:r>
            <w:r>
              <w:rPr>
                <w:rFonts w:hint="eastAsia" w:ascii="宋体" w:hAnsi="宋体" w:eastAsia="仿宋_GB2312" w:cs="仿宋_GB2312"/>
                <w:color w:val="auto"/>
                <w:sz w:val="24"/>
                <w:szCs w:val="24"/>
                <w:lang w:val="en-US" w:eastAsia="zh-CN"/>
              </w:rPr>
              <w:t>×</w:t>
            </w:r>
            <w:r>
              <w:rPr>
                <w:rFonts w:hint="default" w:ascii="宋体" w:hAnsi="宋体" w:eastAsia="仿宋_GB2312" w:cs="仿宋_GB2312"/>
                <w:color w:val="auto"/>
                <w:sz w:val="24"/>
                <w:szCs w:val="24"/>
                <w:lang w:val="en-US" w:eastAsia="zh-CN"/>
              </w:rPr>
              <w:t>60%</w:t>
            </w:r>
          </w:p>
        </w:tc>
      </w:tr>
      <w:tr w14:paraId="676F363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39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4D3B85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>
                <w:top w:val="none" w:color="auto" w:sz="0" w:space="0"/>
                <w:bottom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ind w:firstLine="0" w:firstLineChars="0"/>
              <w:jc w:val="center"/>
              <w:textAlignment w:val="auto"/>
              <w:rPr>
                <w:rFonts w:hint="default" w:ascii="宋体" w:hAnsi="宋体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仿宋_GB2312" w:cs="仿宋_GB2312"/>
                <w:color w:val="auto"/>
                <w:sz w:val="24"/>
                <w:szCs w:val="24"/>
                <w:lang w:val="en-US" w:eastAsia="zh-CN"/>
              </w:rPr>
              <w:t>团棵到现蕾期</w:t>
            </w:r>
          </w:p>
        </w:tc>
        <w:tc>
          <w:tcPr>
            <w:tcW w:w="38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270A80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>
                <w:top w:val="none" w:color="auto" w:sz="0" w:space="0"/>
                <w:bottom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ind w:firstLine="0" w:firstLineChars="0"/>
              <w:jc w:val="center"/>
              <w:textAlignment w:val="auto"/>
              <w:rPr>
                <w:rFonts w:hint="default" w:ascii="宋体" w:hAnsi="宋体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仿宋_GB2312" w:cs="仿宋_GB2312"/>
                <w:color w:val="auto"/>
                <w:sz w:val="24"/>
                <w:szCs w:val="24"/>
                <w:lang w:val="en-US" w:eastAsia="zh-CN"/>
              </w:rPr>
              <w:t>每亩保险金额</w:t>
            </w:r>
            <w:r>
              <w:rPr>
                <w:rFonts w:hint="eastAsia" w:ascii="宋体" w:hAnsi="宋体" w:eastAsia="仿宋_GB2312" w:cs="仿宋_GB2312"/>
                <w:color w:val="auto"/>
                <w:sz w:val="24"/>
                <w:szCs w:val="24"/>
                <w:lang w:val="en-US" w:eastAsia="zh-CN"/>
              </w:rPr>
              <w:t>×</w:t>
            </w:r>
            <w:r>
              <w:rPr>
                <w:rFonts w:hint="default" w:ascii="宋体" w:hAnsi="宋体" w:eastAsia="仿宋_GB2312" w:cs="仿宋_GB2312"/>
                <w:color w:val="auto"/>
                <w:sz w:val="24"/>
                <w:szCs w:val="24"/>
                <w:lang w:val="en-US" w:eastAsia="zh-CN"/>
              </w:rPr>
              <w:t>90%</w:t>
            </w:r>
          </w:p>
        </w:tc>
      </w:tr>
      <w:tr w14:paraId="710B29B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39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73233D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>
                <w:top w:val="none" w:color="auto" w:sz="0" w:space="0"/>
                <w:bottom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ind w:firstLine="0" w:firstLineChars="0"/>
              <w:jc w:val="center"/>
              <w:textAlignment w:val="auto"/>
              <w:rPr>
                <w:rFonts w:hint="default" w:ascii="宋体" w:hAnsi="宋体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仿宋_GB2312" w:cs="仿宋_GB2312"/>
                <w:color w:val="auto"/>
                <w:sz w:val="24"/>
                <w:szCs w:val="24"/>
                <w:lang w:val="en-US" w:eastAsia="zh-CN"/>
              </w:rPr>
              <w:t>成熟采烤期</w:t>
            </w:r>
          </w:p>
        </w:tc>
        <w:tc>
          <w:tcPr>
            <w:tcW w:w="38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A701CE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>
                <w:top w:val="none" w:color="auto" w:sz="0" w:space="0"/>
                <w:bottom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ind w:firstLine="0" w:firstLineChars="0"/>
              <w:jc w:val="center"/>
              <w:textAlignment w:val="auto"/>
              <w:rPr>
                <w:rFonts w:hint="default" w:ascii="宋体" w:hAnsi="宋体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仿宋_GB2312" w:cs="仿宋_GB2312"/>
                <w:color w:val="auto"/>
                <w:sz w:val="24"/>
                <w:szCs w:val="24"/>
                <w:lang w:val="en-US" w:eastAsia="zh-CN"/>
              </w:rPr>
              <w:t>每亩保险金额</w:t>
            </w:r>
            <w:r>
              <w:rPr>
                <w:rFonts w:hint="eastAsia" w:ascii="宋体" w:hAnsi="宋体" w:eastAsia="仿宋_GB2312" w:cs="仿宋_GB2312"/>
                <w:color w:val="auto"/>
                <w:sz w:val="24"/>
                <w:szCs w:val="24"/>
                <w:lang w:val="en-US" w:eastAsia="zh-CN"/>
              </w:rPr>
              <w:t>×</w:t>
            </w:r>
            <w:r>
              <w:rPr>
                <w:rFonts w:hint="default" w:ascii="宋体" w:hAnsi="宋体" w:eastAsia="仿宋_GB2312" w:cs="仿宋_GB2312"/>
                <w:color w:val="auto"/>
                <w:sz w:val="24"/>
                <w:szCs w:val="24"/>
                <w:lang w:val="en-US" w:eastAsia="zh-CN"/>
              </w:rPr>
              <w:t>100%</w:t>
            </w:r>
          </w:p>
        </w:tc>
      </w:tr>
    </w:tbl>
    <w:p w14:paraId="74E53F53">
      <w:pPr>
        <w:pStyle w:val="2"/>
        <w:keepNext w:val="0"/>
        <w:keepLines w:val="0"/>
        <w:pageBreakBefore w:val="0"/>
        <w:widowControl w:val="0"/>
        <w:pBdr>
          <w:top w:val="none" w:color="auto" w:sz="0" w:space="0"/>
          <w:bottom w:val="none" w:color="auto" w:sz="0" w:space="0"/>
        </w:pBdr>
        <w:kinsoku/>
        <w:wordWrap/>
        <w:overflowPunct/>
        <w:topLinePunct w:val="0"/>
        <w:bidi w:val="0"/>
        <w:adjustRightInd/>
        <w:snapToGrid/>
        <w:spacing w:line="590" w:lineRule="exact"/>
        <w:ind w:firstLine="0"/>
        <w:textAlignment w:val="auto"/>
        <w:rPr>
          <w:rFonts w:hint="eastAsia" w:ascii="宋体" w:hAnsi="宋体" w:eastAsia="黑体" w:cs="黑体"/>
          <w:kern w:val="0"/>
          <w:sz w:val="30"/>
          <w:szCs w:val="30"/>
          <w:lang w:val="en-US" w:eastAsia="zh-CN" w:bidi="ar-SA"/>
        </w:rPr>
        <w:sectPr>
          <w:pgSz w:w="11906" w:h="16838"/>
          <w:pgMar w:top="2098" w:right="1474" w:bottom="1984" w:left="1587" w:header="851" w:footer="1417" w:gutter="0"/>
          <w:pgNumType w:fmt="decimal"/>
          <w:cols w:space="720" w:num="1"/>
          <w:rtlGutter w:val="0"/>
          <w:docGrid w:type="lines" w:linePitch="319" w:charSpace="0"/>
        </w:sectPr>
      </w:pPr>
    </w:p>
    <w:p w14:paraId="2E7235FC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7920AAC"/>
    <w:rsid w:val="001B7932"/>
    <w:rsid w:val="005546D4"/>
    <w:rsid w:val="00635E00"/>
    <w:rsid w:val="007A47C7"/>
    <w:rsid w:val="00C74BC7"/>
    <w:rsid w:val="011B04CB"/>
    <w:rsid w:val="012E3196"/>
    <w:rsid w:val="022126EB"/>
    <w:rsid w:val="02304406"/>
    <w:rsid w:val="0239752D"/>
    <w:rsid w:val="023B15C9"/>
    <w:rsid w:val="03287B0F"/>
    <w:rsid w:val="03B1569D"/>
    <w:rsid w:val="03BF5681"/>
    <w:rsid w:val="03D5141F"/>
    <w:rsid w:val="03D74F2C"/>
    <w:rsid w:val="04031CE6"/>
    <w:rsid w:val="04257102"/>
    <w:rsid w:val="04730F0C"/>
    <w:rsid w:val="04DA7C54"/>
    <w:rsid w:val="050D1E04"/>
    <w:rsid w:val="051D14A5"/>
    <w:rsid w:val="0540015D"/>
    <w:rsid w:val="055A00F9"/>
    <w:rsid w:val="057C0083"/>
    <w:rsid w:val="05AD416A"/>
    <w:rsid w:val="05C00209"/>
    <w:rsid w:val="05DA4FB0"/>
    <w:rsid w:val="0635231F"/>
    <w:rsid w:val="06615612"/>
    <w:rsid w:val="06BF259E"/>
    <w:rsid w:val="07236141"/>
    <w:rsid w:val="074C3239"/>
    <w:rsid w:val="07B61FB5"/>
    <w:rsid w:val="07F37EB9"/>
    <w:rsid w:val="08043D1E"/>
    <w:rsid w:val="084A548F"/>
    <w:rsid w:val="089C4D7B"/>
    <w:rsid w:val="089E0D6F"/>
    <w:rsid w:val="09A02EF2"/>
    <w:rsid w:val="09D4435F"/>
    <w:rsid w:val="09D93B0E"/>
    <w:rsid w:val="0A62328F"/>
    <w:rsid w:val="0A724195"/>
    <w:rsid w:val="0A974C08"/>
    <w:rsid w:val="0A9927FB"/>
    <w:rsid w:val="0AB81290"/>
    <w:rsid w:val="0B2907CD"/>
    <w:rsid w:val="0BDA3132"/>
    <w:rsid w:val="0BDB6FA4"/>
    <w:rsid w:val="0BF619D4"/>
    <w:rsid w:val="0C0846B7"/>
    <w:rsid w:val="0C833A46"/>
    <w:rsid w:val="0CF76387"/>
    <w:rsid w:val="0D854721"/>
    <w:rsid w:val="0DFA031D"/>
    <w:rsid w:val="0E0A639A"/>
    <w:rsid w:val="0E1460CD"/>
    <w:rsid w:val="0E432AD7"/>
    <w:rsid w:val="0E616644"/>
    <w:rsid w:val="0E7D75B7"/>
    <w:rsid w:val="0EA071BB"/>
    <w:rsid w:val="0EB5140A"/>
    <w:rsid w:val="0ED820BA"/>
    <w:rsid w:val="0F623180"/>
    <w:rsid w:val="0F890502"/>
    <w:rsid w:val="0F8F4C7D"/>
    <w:rsid w:val="100B7305"/>
    <w:rsid w:val="10216E72"/>
    <w:rsid w:val="10223BC7"/>
    <w:rsid w:val="1057177D"/>
    <w:rsid w:val="10CE6E57"/>
    <w:rsid w:val="10D67B87"/>
    <w:rsid w:val="10F91F6B"/>
    <w:rsid w:val="113F3479"/>
    <w:rsid w:val="115660B9"/>
    <w:rsid w:val="1180031A"/>
    <w:rsid w:val="11AD0F05"/>
    <w:rsid w:val="11DA3A32"/>
    <w:rsid w:val="121E19BE"/>
    <w:rsid w:val="12676E96"/>
    <w:rsid w:val="12786D6D"/>
    <w:rsid w:val="12B77111"/>
    <w:rsid w:val="135770E3"/>
    <w:rsid w:val="136510E1"/>
    <w:rsid w:val="137E7BE3"/>
    <w:rsid w:val="1398694A"/>
    <w:rsid w:val="13E26731"/>
    <w:rsid w:val="140B63D8"/>
    <w:rsid w:val="1423796B"/>
    <w:rsid w:val="14384EC6"/>
    <w:rsid w:val="14B14C50"/>
    <w:rsid w:val="154B352C"/>
    <w:rsid w:val="15A377BD"/>
    <w:rsid w:val="15F14A14"/>
    <w:rsid w:val="164A3786"/>
    <w:rsid w:val="167E720B"/>
    <w:rsid w:val="16AD67A9"/>
    <w:rsid w:val="16CA6A04"/>
    <w:rsid w:val="175E3D60"/>
    <w:rsid w:val="18295234"/>
    <w:rsid w:val="184A4CFA"/>
    <w:rsid w:val="185D0EF8"/>
    <w:rsid w:val="18616B1F"/>
    <w:rsid w:val="18955468"/>
    <w:rsid w:val="189779AC"/>
    <w:rsid w:val="18CA388F"/>
    <w:rsid w:val="18D82398"/>
    <w:rsid w:val="18F7541A"/>
    <w:rsid w:val="18FA29F1"/>
    <w:rsid w:val="18FB4F3D"/>
    <w:rsid w:val="19601618"/>
    <w:rsid w:val="19FF6254"/>
    <w:rsid w:val="1A3C4C9D"/>
    <w:rsid w:val="1A5E32DF"/>
    <w:rsid w:val="1A9752FB"/>
    <w:rsid w:val="1B3F34AE"/>
    <w:rsid w:val="1B40358F"/>
    <w:rsid w:val="1B63376E"/>
    <w:rsid w:val="1C086C36"/>
    <w:rsid w:val="1C331F59"/>
    <w:rsid w:val="1C3E5127"/>
    <w:rsid w:val="1C806976"/>
    <w:rsid w:val="1C977B2E"/>
    <w:rsid w:val="1CCC33D0"/>
    <w:rsid w:val="1CCE78C1"/>
    <w:rsid w:val="1CEB68D7"/>
    <w:rsid w:val="1D48784E"/>
    <w:rsid w:val="1DFC28C2"/>
    <w:rsid w:val="1E353706"/>
    <w:rsid w:val="1E375C40"/>
    <w:rsid w:val="1E4C3B78"/>
    <w:rsid w:val="1EF26200"/>
    <w:rsid w:val="1EF91C65"/>
    <w:rsid w:val="1F122D82"/>
    <w:rsid w:val="1F49266F"/>
    <w:rsid w:val="1F79723E"/>
    <w:rsid w:val="1F9C49D9"/>
    <w:rsid w:val="1FEB440D"/>
    <w:rsid w:val="20337573"/>
    <w:rsid w:val="20436BA7"/>
    <w:rsid w:val="2086783C"/>
    <w:rsid w:val="20BE4DAA"/>
    <w:rsid w:val="219C5739"/>
    <w:rsid w:val="21AA5958"/>
    <w:rsid w:val="21D7395D"/>
    <w:rsid w:val="21F7437C"/>
    <w:rsid w:val="22A93250"/>
    <w:rsid w:val="22C324A4"/>
    <w:rsid w:val="22E5142D"/>
    <w:rsid w:val="22F7430C"/>
    <w:rsid w:val="23797881"/>
    <w:rsid w:val="2385100E"/>
    <w:rsid w:val="23A41AA6"/>
    <w:rsid w:val="23CB2AE2"/>
    <w:rsid w:val="23FF7A2F"/>
    <w:rsid w:val="24127851"/>
    <w:rsid w:val="24496AF5"/>
    <w:rsid w:val="24CA11CF"/>
    <w:rsid w:val="254679A7"/>
    <w:rsid w:val="25640F22"/>
    <w:rsid w:val="25F47A86"/>
    <w:rsid w:val="25FB20FC"/>
    <w:rsid w:val="26473A42"/>
    <w:rsid w:val="268F6368"/>
    <w:rsid w:val="27114D63"/>
    <w:rsid w:val="27A32E7F"/>
    <w:rsid w:val="27FC2285"/>
    <w:rsid w:val="284A14E6"/>
    <w:rsid w:val="28F13B90"/>
    <w:rsid w:val="28FB1785"/>
    <w:rsid w:val="29156B33"/>
    <w:rsid w:val="291F0524"/>
    <w:rsid w:val="296A00B1"/>
    <w:rsid w:val="29AE2BA1"/>
    <w:rsid w:val="29C42C90"/>
    <w:rsid w:val="2A190077"/>
    <w:rsid w:val="2A6C0EB1"/>
    <w:rsid w:val="2A6F6FFC"/>
    <w:rsid w:val="2A944B0E"/>
    <w:rsid w:val="2B415A12"/>
    <w:rsid w:val="2B5A38E2"/>
    <w:rsid w:val="2B5E04CE"/>
    <w:rsid w:val="2BE1291B"/>
    <w:rsid w:val="2C347336"/>
    <w:rsid w:val="2C480BCA"/>
    <w:rsid w:val="2CC8091A"/>
    <w:rsid w:val="2CDE6027"/>
    <w:rsid w:val="2CE0427D"/>
    <w:rsid w:val="2CE35FE5"/>
    <w:rsid w:val="2D2F2051"/>
    <w:rsid w:val="2D492FD0"/>
    <w:rsid w:val="2E2659E4"/>
    <w:rsid w:val="2E7A7AEA"/>
    <w:rsid w:val="2E9D2BB5"/>
    <w:rsid w:val="2EDB40E1"/>
    <w:rsid w:val="2F145AD7"/>
    <w:rsid w:val="2FB23CBD"/>
    <w:rsid w:val="2FD2540F"/>
    <w:rsid w:val="30303C28"/>
    <w:rsid w:val="303C5266"/>
    <w:rsid w:val="305B6016"/>
    <w:rsid w:val="309A0272"/>
    <w:rsid w:val="30FE47CE"/>
    <w:rsid w:val="31743775"/>
    <w:rsid w:val="319F68F4"/>
    <w:rsid w:val="32064FEB"/>
    <w:rsid w:val="323916CF"/>
    <w:rsid w:val="32481C48"/>
    <w:rsid w:val="326572A7"/>
    <w:rsid w:val="32662CCB"/>
    <w:rsid w:val="3272686E"/>
    <w:rsid w:val="3291393F"/>
    <w:rsid w:val="32E955D2"/>
    <w:rsid w:val="330B3B99"/>
    <w:rsid w:val="3311099D"/>
    <w:rsid w:val="331A41E0"/>
    <w:rsid w:val="33256200"/>
    <w:rsid w:val="334540C5"/>
    <w:rsid w:val="33473F51"/>
    <w:rsid w:val="337D0373"/>
    <w:rsid w:val="338D722B"/>
    <w:rsid w:val="339A3C7F"/>
    <w:rsid w:val="339F383F"/>
    <w:rsid w:val="34436819"/>
    <w:rsid w:val="3474327E"/>
    <w:rsid w:val="34C10B81"/>
    <w:rsid w:val="34E7458D"/>
    <w:rsid w:val="34F80983"/>
    <w:rsid w:val="35234BBD"/>
    <w:rsid w:val="35367E26"/>
    <w:rsid w:val="35E35D24"/>
    <w:rsid w:val="35EB79CF"/>
    <w:rsid w:val="363717E3"/>
    <w:rsid w:val="364865F0"/>
    <w:rsid w:val="36862FAB"/>
    <w:rsid w:val="3703767C"/>
    <w:rsid w:val="37147882"/>
    <w:rsid w:val="37183A44"/>
    <w:rsid w:val="37920AAC"/>
    <w:rsid w:val="37A6451D"/>
    <w:rsid w:val="37F95A23"/>
    <w:rsid w:val="38602AC8"/>
    <w:rsid w:val="38CA791C"/>
    <w:rsid w:val="38DF0F84"/>
    <w:rsid w:val="391723C3"/>
    <w:rsid w:val="391B7BFC"/>
    <w:rsid w:val="393B43E9"/>
    <w:rsid w:val="39FB2037"/>
    <w:rsid w:val="3A051AD0"/>
    <w:rsid w:val="3A181D5F"/>
    <w:rsid w:val="3A1E5668"/>
    <w:rsid w:val="3AB775F6"/>
    <w:rsid w:val="3B2842A5"/>
    <w:rsid w:val="3B721E4F"/>
    <w:rsid w:val="3BD22931"/>
    <w:rsid w:val="3BF378C1"/>
    <w:rsid w:val="3C247835"/>
    <w:rsid w:val="3C3C6F6F"/>
    <w:rsid w:val="3D0071EB"/>
    <w:rsid w:val="3D3777B5"/>
    <w:rsid w:val="3D4202FC"/>
    <w:rsid w:val="3D437950"/>
    <w:rsid w:val="3DA87077"/>
    <w:rsid w:val="3DD72D9E"/>
    <w:rsid w:val="3DF64344"/>
    <w:rsid w:val="3E077402"/>
    <w:rsid w:val="3E0F5B54"/>
    <w:rsid w:val="3E197A8F"/>
    <w:rsid w:val="3E2F0D1E"/>
    <w:rsid w:val="3E390DE4"/>
    <w:rsid w:val="3E3C6A92"/>
    <w:rsid w:val="3E7D33B2"/>
    <w:rsid w:val="3E7D38E5"/>
    <w:rsid w:val="3EC071DA"/>
    <w:rsid w:val="3F143392"/>
    <w:rsid w:val="3F2A0D93"/>
    <w:rsid w:val="3F3159CE"/>
    <w:rsid w:val="3FFF20BE"/>
    <w:rsid w:val="403C6BA8"/>
    <w:rsid w:val="409B2186"/>
    <w:rsid w:val="427B11F5"/>
    <w:rsid w:val="430F1C4F"/>
    <w:rsid w:val="432C00CB"/>
    <w:rsid w:val="435A2A30"/>
    <w:rsid w:val="43624617"/>
    <w:rsid w:val="438E12FC"/>
    <w:rsid w:val="43D95954"/>
    <w:rsid w:val="43FD322F"/>
    <w:rsid w:val="44045862"/>
    <w:rsid w:val="44335DBA"/>
    <w:rsid w:val="444B6A2F"/>
    <w:rsid w:val="44B63ECB"/>
    <w:rsid w:val="44EB711D"/>
    <w:rsid w:val="450671F5"/>
    <w:rsid w:val="456C3385"/>
    <w:rsid w:val="456D2780"/>
    <w:rsid w:val="45AA2F2C"/>
    <w:rsid w:val="45AC55FD"/>
    <w:rsid w:val="45BA5661"/>
    <w:rsid w:val="45CE7426"/>
    <w:rsid w:val="460651F5"/>
    <w:rsid w:val="462F57C9"/>
    <w:rsid w:val="465B190B"/>
    <w:rsid w:val="46817D77"/>
    <w:rsid w:val="46864003"/>
    <w:rsid w:val="46AB0986"/>
    <w:rsid w:val="46B127A3"/>
    <w:rsid w:val="46D74346"/>
    <w:rsid w:val="46E11F8F"/>
    <w:rsid w:val="47097E4C"/>
    <w:rsid w:val="47CC09E2"/>
    <w:rsid w:val="47D56408"/>
    <w:rsid w:val="481532A8"/>
    <w:rsid w:val="482D43FC"/>
    <w:rsid w:val="48646920"/>
    <w:rsid w:val="488F4B06"/>
    <w:rsid w:val="489736AD"/>
    <w:rsid w:val="48EE4DC1"/>
    <w:rsid w:val="490D5E88"/>
    <w:rsid w:val="49540487"/>
    <w:rsid w:val="49595EF6"/>
    <w:rsid w:val="49E93BAD"/>
    <w:rsid w:val="4A3378F4"/>
    <w:rsid w:val="4A3B64EC"/>
    <w:rsid w:val="4A494400"/>
    <w:rsid w:val="4AD20EFB"/>
    <w:rsid w:val="4AF42591"/>
    <w:rsid w:val="4B10680C"/>
    <w:rsid w:val="4B462E7C"/>
    <w:rsid w:val="4B5478BD"/>
    <w:rsid w:val="4B835D29"/>
    <w:rsid w:val="4BF1403D"/>
    <w:rsid w:val="4BF3005D"/>
    <w:rsid w:val="4D030E4B"/>
    <w:rsid w:val="4D856FCB"/>
    <w:rsid w:val="4E044448"/>
    <w:rsid w:val="4E0C2ED7"/>
    <w:rsid w:val="4E9F64D6"/>
    <w:rsid w:val="4EC85D58"/>
    <w:rsid w:val="4F1A0075"/>
    <w:rsid w:val="4F2C201C"/>
    <w:rsid w:val="4FDC07CD"/>
    <w:rsid w:val="503A58E7"/>
    <w:rsid w:val="505A7568"/>
    <w:rsid w:val="50C6593E"/>
    <w:rsid w:val="50CA3A49"/>
    <w:rsid w:val="50F47762"/>
    <w:rsid w:val="514569E5"/>
    <w:rsid w:val="516A0255"/>
    <w:rsid w:val="51E54ADE"/>
    <w:rsid w:val="52037B49"/>
    <w:rsid w:val="52050B8F"/>
    <w:rsid w:val="52467058"/>
    <w:rsid w:val="524B5C49"/>
    <w:rsid w:val="526D3677"/>
    <w:rsid w:val="529F4E9B"/>
    <w:rsid w:val="52E8739F"/>
    <w:rsid w:val="536B7406"/>
    <w:rsid w:val="53C86535"/>
    <w:rsid w:val="54976C4B"/>
    <w:rsid w:val="54A66F81"/>
    <w:rsid w:val="54C52267"/>
    <w:rsid w:val="54CF6424"/>
    <w:rsid w:val="54DC3D13"/>
    <w:rsid w:val="54FB11E8"/>
    <w:rsid w:val="55A40194"/>
    <w:rsid w:val="56210C1D"/>
    <w:rsid w:val="56326793"/>
    <w:rsid w:val="56C40C2F"/>
    <w:rsid w:val="56D65F6C"/>
    <w:rsid w:val="56E77551"/>
    <w:rsid w:val="572E16FC"/>
    <w:rsid w:val="57321082"/>
    <w:rsid w:val="576A4458"/>
    <w:rsid w:val="578800FC"/>
    <w:rsid w:val="57D237B9"/>
    <w:rsid w:val="58B41244"/>
    <w:rsid w:val="58B75B62"/>
    <w:rsid w:val="58BA3695"/>
    <w:rsid w:val="58F96790"/>
    <w:rsid w:val="593A584D"/>
    <w:rsid w:val="594154D2"/>
    <w:rsid w:val="59503200"/>
    <w:rsid w:val="59957B60"/>
    <w:rsid w:val="59A21EC6"/>
    <w:rsid w:val="59DD1339"/>
    <w:rsid w:val="5A2F77A1"/>
    <w:rsid w:val="5A761D9E"/>
    <w:rsid w:val="5B0F33D4"/>
    <w:rsid w:val="5B8E215A"/>
    <w:rsid w:val="5BAC2E9B"/>
    <w:rsid w:val="5BC34F8C"/>
    <w:rsid w:val="5BE82AFB"/>
    <w:rsid w:val="5C376142"/>
    <w:rsid w:val="5C444D47"/>
    <w:rsid w:val="5C5A41B8"/>
    <w:rsid w:val="5D3C5A49"/>
    <w:rsid w:val="5D470242"/>
    <w:rsid w:val="5D65626D"/>
    <w:rsid w:val="5D863933"/>
    <w:rsid w:val="5D8863D2"/>
    <w:rsid w:val="5DBF627A"/>
    <w:rsid w:val="5E120E55"/>
    <w:rsid w:val="5E5E3EDA"/>
    <w:rsid w:val="5E717691"/>
    <w:rsid w:val="5E9D3A7D"/>
    <w:rsid w:val="5EE601D7"/>
    <w:rsid w:val="5F492B85"/>
    <w:rsid w:val="5F4F7C48"/>
    <w:rsid w:val="5F5E19EE"/>
    <w:rsid w:val="5F9A24EE"/>
    <w:rsid w:val="5FFC1C44"/>
    <w:rsid w:val="6040355A"/>
    <w:rsid w:val="60735D0A"/>
    <w:rsid w:val="607D6644"/>
    <w:rsid w:val="609A0DF0"/>
    <w:rsid w:val="60CF59DB"/>
    <w:rsid w:val="60E46184"/>
    <w:rsid w:val="611862CD"/>
    <w:rsid w:val="61430D80"/>
    <w:rsid w:val="616C6E52"/>
    <w:rsid w:val="61834E9E"/>
    <w:rsid w:val="61A8250E"/>
    <w:rsid w:val="61B779DD"/>
    <w:rsid w:val="621651D2"/>
    <w:rsid w:val="6274609D"/>
    <w:rsid w:val="627E7605"/>
    <w:rsid w:val="633D2524"/>
    <w:rsid w:val="6340542F"/>
    <w:rsid w:val="63513248"/>
    <w:rsid w:val="63812EA6"/>
    <w:rsid w:val="63B81540"/>
    <w:rsid w:val="63C17BBE"/>
    <w:rsid w:val="643A4137"/>
    <w:rsid w:val="64E65D7C"/>
    <w:rsid w:val="65714F13"/>
    <w:rsid w:val="659C7441"/>
    <w:rsid w:val="668C38D8"/>
    <w:rsid w:val="66EA5E5C"/>
    <w:rsid w:val="67267B78"/>
    <w:rsid w:val="67854E2A"/>
    <w:rsid w:val="67FB2920"/>
    <w:rsid w:val="681E4916"/>
    <w:rsid w:val="688C5FD1"/>
    <w:rsid w:val="691A3632"/>
    <w:rsid w:val="69516D5F"/>
    <w:rsid w:val="697C73E1"/>
    <w:rsid w:val="69B4010B"/>
    <w:rsid w:val="69E13BAA"/>
    <w:rsid w:val="69E51513"/>
    <w:rsid w:val="6A527D4F"/>
    <w:rsid w:val="6ABF392C"/>
    <w:rsid w:val="6B331F90"/>
    <w:rsid w:val="6B541907"/>
    <w:rsid w:val="6B56284E"/>
    <w:rsid w:val="6B595BDD"/>
    <w:rsid w:val="6BC431B7"/>
    <w:rsid w:val="6BC96569"/>
    <w:rsid w:val="6C407012"/>
    <w:rsid w:val="6C602D97"/>
    <w:rsid w:val="6C794DFE"/>
    <w:rsid w:val="6C962A4D"/>
    <w:rsid w:val="6C9E0C9F"/>
    <w:rsid w:val="6CE96E46"/>
    <w:rsid w:val="6D2846C9"/>
    <w:rsid w:val="6D2F2F7D"/>
    <w:rsid w:val="6E053DBD"/>
    <w:rsid w:val="6E4B225C"/>
    <w:rsid w:val="6E5C3425"/>
    <w:rsid w:val="6EEE451A"/>
    <w:rsid w:val="6F326E58"/>
    <w:rsid w:val="6F3C0B24"/>
    <w:rsid w:val="6F517FAA"/>
    <w:rsid w:val="6F5934C4"/>
    <w:rsid w:val="6FBE1FD2"/>
    <w:rsid w:val="6FD80481"/>
    <w:rsid w:val="708F432E"/>
    <w:rsid w:val="70BA5B56"/>
    <w:rsid w:val="70D678E2"/>
    <w:rsid w:val="70DE7EBC"/>
    <w:rsid w:val="70ED7FE3"/>
    <w:rsid w:val="710937D8"/>
    <w:rsid w:val="71215F49"/>
    <w:rsid w:val="714566CD"/>
    <w:rsid w:val="72236713"/>
    <w:rsid w:val="726478B6"/>
    <w:rsid w:val="726C7788"/>
    <w:rsid w:val="727275EF"/>
    <w:rsid w:val="72813003"/>
    <w:rsid w:val="728661BD"/>
    <w:rsid w:val="729C1D30"/>
    <w:rsid w:val="73504BDF"/>
    <w:rsid w:val="73510455"/>
    <w:rsid w:val="736253FB"/>
    <w:rsid w:val="736A4915"/>
    <w:rsid w:val="736C240E"/>
    <w:rsid w:val="73B50536"/>
    <w:rsid w:val="74251BDC"/>
    <w:rsid w:val="745F52E7"/>
    <w:rsid w:val="74731122"/>
    <w:rsid w:val="74A5519C"/>
    <w:rsid w:val="74EC3198"/>
    <w:rsid w:val="75087284"/>
    <w:rsid w:val="75AC58E1"/>
    <w:rsid w:val="75DA6217"/>
    <w:rsid w:val="75E25FA2"/>
    <w:rsid w:val="75F05766"/>
    <w:rsid w:val="762363F6"/>
    <w:rsid w:val="763A0BF6"/>
    <w:rsid w:val="76A449F6"/>
    <w:rsid w:val="77281FEE"/>
    <w:rsid w:val="77DA5AC6"/>
    <w:rsid w:val="77EB4D7B"/>
    <w:rsid w:val="78025003"/>
    <w:rsid w:val="78326E6A"/>
    <w:rsid w:val="78471FE1"/>
    <w:rsid w:val="78A57B7B"/>
    <w:rsid w:val="78A84346"/>
    <w:rsid w:val="7923098F"/>
    <w:rsid w:val="797C0C9E"/>
    <w:rsid w:val="79C52305"/>
    <w:rsid w:val="7A450DFE"/>
    <w:rsid w:val="7A5473A4"/>
    <w:rsid w:val="7AB95ABF"/>
    <w:rsid w:val="7B0A3F04"/>
    <w:rsid w:val="7B1727C7"/>
    <w:rsid w:val="7B70337F"/>
    <w:rsid w:val="7B953934"/>
    <w:rsid w:val="7C236022"/>
    <w:rsid w:val="7C6B3778"/>
    <w:rsid w:val="7C724246"/>
    <w:rsid w:val="7C8C3248"/>
    <w:rsid w:val="7CB750CB"/>
    <w:rsid w:val="7D144EEA"/>
    <w:rsid w:val="7D2E4979"/>
    <w:rsid w:val="7D6C760A"/>
    <w:rsid w:val="7DA20B35"/>
    <w:rsid w:val="7DF32C82"/>
    <w:rsid w:val="7EA54A11"/>
    <w:rsid w:val="7EBF25B5"/>
    <w:rsid w:val="7EEE545B"/>
    <w:rsid w:val="7F131B2C"/>
    <w:rsid w:val="7F3209C0"/>
    <w:rsid w:val="7FD56A23"/>
    <w:rsid w:val="7FDB024B"/>
    <w:rsid w:val="7FF76B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after="160" w:line="259" w:lineRule="auto"/>
      <w:jc w:val="both"/>
    </w:pPr>
    <w:rPr>
      <w:rFonts w:ascii="Calibri" w:hAnsi="Calibri" w:eastAsia="宋体" w:cs="Times New Roman"/>
      <w:kern w:val="2"/>
      <w:sz w:val="21"/>
      <w:szCs w:val="22"/>
      <w:lang w:eastAsia="zh-CN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qFormat/>
    <w:uiPriority w:val="0"/>
    <w:pPr>
      <w:ind w:firstLine="630"/>
    </w:pPr>
    <w:rPr>
      <w:rFonts w:ascii="Times New Roman" w:hAnsi="Times New Roman" w:eastAsia="仿宋_GB2312"/>
      <w:kern w:val="0"/>
      <w:sz w:val="32"/>
      <w:szCs w:val="20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4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云南省林业厅</Company>
  <Pages>4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2025-12-10T10:05:00Z</dcterms:created>
  <dc:creator>刘丹妮</dc:creator>
  <cp:lastModifiedBy>刘丹妮</cp:lastModifiedBy>
  <dcterms:modified xsi:type="dcterms:W3CDTF">2025-12-10T10:06:44Z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4DBC6DA095A74C20AA5E50284B88721F_11</vt:lpwstr>
  </property>
  <property fmtid="{D5CDD505-2E9C-101B-9397-08002B2CF9AE}" pid="4" name="KSOTemplateDocerSaveRecord">
    <vt:lpwstr>eyJoZGlkIjoiZmNmM2Y3MTdkMmUxMzNmYmJkMWE3ZGExZDEyZmYzMDEiLCJ1c2VySWQiOiI0NTM1MDUxNDkifQ==</vt:lpwstr>
  </property>
</Properties>
</file>