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84D6EC">
      <w:pPr>
        <w:pStyle w:val="2"/>
        <w:keepNext w:val="0"/>
        <w:keepLines w:val="0"/>
        <w:pageBreakBefore w:val="0"/>
        <w:widowControl w:val="0"/>
        <w:pBdr>
          <w:top w:val="none" w:color="auto" w:sz="0" w:space="0"/>
          <w:bottom w:val="none" w:color="auto" w:sz="0" w:space="0"/>
        </w:pBdr>
        <w:kinsoku/>
        <w:wordWrap/>
        <w:overflowPunct/>
        <w:topLinePunct w:val="0"/>
        <w:bidi w:val="0"/>
        <w:adjustRightInd/>
        <w:snapToGrid/>
        <w:spacing w:after="0" w:line="570" w:lineRule="exact"/>
        <w:ind w:firstLine="0"/>
        <w:textAlignment w:val="auto"/>
        <w:rPr>
          <w:rFonts w:hint="default" w:ascii="宋体" w:hAnsi="宋体"/>
          <w:sz w:val="30"/>
          <w:szCs w:val="30"/>
          <w:lang w:val="en-US" w:eastAsia="zh-CN"/>
        </w:rPr>
      </w:pPr>
      <w:bookmarkStart w:id="0" w:name="_GoBack"/>
      <w:r>
        <w:rPr>
          <w:rFonts w:hint="eastAsia" w:ascii="宋体" w:hAnsi="宋体" w:eastAsia="黑体" w:cs="黑体"/>
          <w:kern w:val="0"/>
          <w:sz w:val="30"/>
          <w:szCs w:val="30"/>
          <w:lang w:val="en-US" w:eastAsia="zh-CN" w:bidi="ar-SA"/>
        </w:rPr>
        <w:t>附件1-2</w:t>
      </w:r>
    </w:p>
    <w:bookmarkEnd w:id="0"/>
    <w:p w14:paraId="57C237D5">
      <w:pPr>
        <w:pStyle w:val="2"/>
        <w:keepNext w:val="0"/>
        <w:keepLines w:val="0"/>
        <w:pageBreakBefore w:val="0"/>
        <w:widowControl w:val="0"/>
        <w:pBdr>
          <w:top w:val="none" w:color="auto" w:sz="0" w:space="0"/>
          <w:bottom w:val="none" w:color="auto" w:sz="0" w:space="0"/>
        </w:pBdr>
        <w:kinsoku/>
        <w:wordWrap/>
        <w:overflowPunct/>
        <w:topLinePunct w:val="0"/>
        <w:bidi w:val="0"/>
        <w:adjustRightInd/>
        <w:snapToGrid/>
        <w:spacing w:after="0" w:line="580" w:lineRule="exact"/>
        <w:ind w:firstLine="0"/>
        <w:jc w:val="center"/>
        <w:textAlignment w:val="auto"/>
        <w:rPr>
          <w:rFonts w:hint="eastAsia" w:ascii="宋体" w:hAnsi="宋体" w:eastAsia="方正小标宋简体" w:cs="方正小标宋简体"/>
          <w:sz w:val="30"/>
          <w:szCs w:val="30"/>
          <w:lang w:val="en-US" w:eastAsia="zh-CN"/>
        </w:rPr>
      </w:pPr>
    </w:p>
    <w:p w14:paraId="4907E412">
      <w:pPr>
        <w:keepNext w:val="0"/>
        <w:keepLines w:val="0"/>
        <w:pageBreakBefore w:val="0"/>
        <w:widowControl w:val="0"/>
        <w:numPr>
          <w:ilvl w:val="0"/>
          <w:numId w:val="0"/>
        </w:numPr>
        <w:pBdr>
          <w:top w:val="none" w:color="auto" w:sz="0" w:space="0"/>
          <w:bottom w:val="none" w:color="auto" w:sz="0" w:space="0"/>
        </w:pBdr>
        <w:kinsoku/>
        <w:wordWrap/>
        <w:overflowPunct/>
        <w:topLinePunct w:val="0"/>
        <w:bidi w:val="0"/>
        <w:adjustRightInd/>
        <w:snapToGrid/>
        <w:spacing w:after="0" w:line="580" w:lineRule="exact"/>
        <w:jc w:val="center"/>
        <w:textAlignment w:val="auto"/>
        <w:rPr>
          <w:rFonts w:hint="eastAsia" w:ascii="宋体" w:hAnsi="宋体" w:eastAsia="方正小标宋简体" w:cs="方正小标宋简体"/>
          <w:sz w:val="40"/>
          <w:szCs w:val="40"/>
          <w:highlight w:val="yellow"/>
          <w:lang w:val="en-US" w:eastAsia="zh-CN"/>
        </w:rPr>
      </w:pPr>
      <w:r>
        <w:rPr>
          <w:rFonts w:hint="eastAsia" w:ascii="宋体" w:hAnsi="宋体" w:eastAsia="方正小标宋简体" w:cs="方正小标宋简体"/>
          <w:sz w:val="40"/>
          <w:szCs w:val="40"/>
          <w:lang w:val="en-US" w:eastAsia="zh-CN"/>
        </w:rPr>
        <w:t>云南省肉牛养殖保险实施方案</w:t>
      </w:r>
    </w:p>
    <w:p w14:paraId="132760D1">
      <w:pPr>
        <w:pStyle w:val="2"/>
        <w:keepNext w:val="0"/>
        <w:keepLines w:val="0"/>
        <w:pageBreakBefore w:val="0"/>
        <w:widowControl w:val="0"/>
        <w:pBdr>
          <w:top w:val="none" w:color="auto" w:sz="0" w:space="0"/>
          <w:bottom w:val="none" w:color="auto" w:sz="0" w:space="0"/>
        </w:pBdr>
        <w:kinsoku/>
        <w:wordWrap/>
        <w:overflowPunct/>
        <w:topLinePunct w:val="0"/>
        <w:bidi w:val="0"/>
        <w:adjustRightInd/>
        <w:snapToGrid/>
        <w:spacing w:after="0" w:line="580" w:lineRule="exact"/>
        <w:textAlignment w:val="auto"/>
        <w:rPr>
          <w:rFonts w:hint="eastAsia" w:ascii="宋体" w:hAnsi="宋体"/>
          <w:sz w:val="30"/>
          <w:szCs w:val="30"/>
          <w:lang w:val="en-US" w:eastAsia="zh-CN"/>
        </w:rPr>
      </w:pPr>
    </w:p>
    <w:p w14:paraId="03C9E0D8">
      <w:pPr>
        <w:pStyle w:val="2"/>
        <w:keepNext w:val="0"/>
        <w:keepLines w:val="0"/>
        <w:pageBreakBefore w:val="0"/>
        <w:widowControl w:val="0"/>
        <w:numPr>
          <w:ilvl w:val="0"/>
          <w:numId w:val="0"/>
        </w:numPr>
        <w:pBdr>
          <w:top w:val="none" w:color="auto" w:sz="0" w:space="0"/>
          <w:bottom w:val="none" w:color="auto" w:sz="0" w:space="0"/>
        </w:pBdr>
        <w:kinsoku/>
        <w:wordWrap/>
        <w:overflowPunct w:val="0"/>
        <w:topLinePunct w:val="0"/>
        <w:bidi w:val="0"/>
        <w:adjustRightInd/>
        <w:snapToGrid/>
        <w:spacing w:after="0" w:line="580" w:lineRule="exact"/>
        <w:ind w:right="0" w:firstLine="600" w:firstLineChars="200"/>
        <w:textAlignment w:val="auto"/>
        <w:rPr>
          <w:rFonts w:hint="eastAsia" w:ascii="宋体" w:hAnsi="宋体" w:eastAsia="黑体" w:cs="黑体"/>
          <w:color w:val="auto"/>
          <w:kern w:val="0"/>
          <w:sz w:val="30"/>
          <w:szCs w:val="30"/>
          <w:lang w:val="en-US" w:eastAsia="zh-CN" w:bidi="ar-SA"/>
        </w:rPr>
      </w:pPr>
      <w:r>
        <w:rPr>
          <w:rFonts w:hint="eastAsia" w:ascii="宋体" w:hAnsi="宋体" w:eastAsia="黑体" w:cs="黑体"/>
          <w:color w:val="auto"/>
          <w:kern w:val="0"/>
          <w:sz w:val="30"/>
          <w:szCs w:val="30"/>
          <w:lang w:val="en-US" w:eastAsia="zh-CN" w:bidi="ar-SA"/>
        </w:rPr>
        <w:t>一、保险标的</w:t>
      </w:r>
    </w:p>
    <w:p w14:paraId="69218F3F">
      <w:pPr>
        <w:keepNext w:val="0"/>
        <w:keepLines w:val="0"/>
        <w:pageBreakBefore w:val="0"/>
        <w:widowControl w:val="0"/>
        <w:pBdr>
          <w:top w:val="none" w:color="auto" w:sz="0" w:space="0"/>
          <w:bottom w:val="none" w:color="auto" w:sz="0" w:space="0"/>
        </w:pBdr>
        <w:kinsoku/>
        <w:wordWrap/>
        <w:overflowPunct w:val="0"/>
        <w:topLinePunct w:val="0"/>
        <w:autoSpaceDE w:val="0"/>
        <w:autoSpaceDN w:val="0"/>
        <w:bidi w:val="0"/>
        <w:adjustRightInd/>
        <w:snapToGrid/>
        <w:spacing w:after="0" w:line="580" w:lineRule="exact"/>
        <w:ind w:right="0" w:firstLine="600" w:firstLineChars="200"/>
        <w:textAlignment w:val="auto"/>
        <w:rPr>
          <w:rFonts w:hint="eastAsia" w:ascii="宋体" w:hAnsi="宋体" w:eastAsia="仿宋_GB2312" w:cs="仿宋_GB2312"/>
          <w:color w:val="auto"/>
          <w:spacing w:val="0"/>
          <w:kern w:val="0"/>
          <w:sz w:val="30"/>
          <w:szCs w:val="30"/>
          <w:highlight w:val="none"/>
          <w:lang w:eastAsia="zh-CN"/>
        </w:rPr>
      </w:pPr>
      <w:r>
        <w:rPr>
          <w:rFonts w:hint="eastAsia" w:ascii="宋体" w:hAnsi="宋体" w:eastAsia="仿宋_GB2312" w:cs="仿宋_GB2312"/>
          <w:color w:val="auto"/>
          <w:spacing w:val="0"/>
          <w:kern w:val="0"/>
          <w:sz w:val="30"/>
          <w:szCs w:val="30"/>
          <w:highlight w:val="none"/>
          <w:lang w:val="en-US" w:eastAsia="zh-CN"/>
        </w:rPr>
        <w:t>（一）</w:t>
      </w:r>
      <w:r>
        <w:rPr>
          <w:rFonts w:hint="eastAsia" w:ascii="宋体" w:hAnsi="宋体" w:eastAsia="仿宋_GB2312" w:cs="仿宋_GB2312"/>
          <w:color w:val="auto"/>
          <w:spacing w:val="0"/>
          <w:kern w:val="0"/>
          <w:sz w:val="30"/>
          <w:szCs w:val="30"/>
          <w:highlight w:val="none"/>
          <w:lang w:eastAsia="zh-CN"/>
        </w:rPr>
        <w:t>投保标的肉牛品种必须在云南省范围内饲养</w:t>
      </w:r>
      <w:r>
        <w:rPr>
          <w:rFonts w:hint="eastAsia" w:ascii="宋体" w:hAnsi="宋体" w:eastAsia="仿宋_GB2312" w:cs="仿宋_GB2312"/>
          <w:color w:val="auto"/>
          <w:spacing w:val="0"/>
          <w:kern w:val="0"/>
          <w:sz w:val="30"/>
          <w:szCs w:val="30"/>
          <w:highlight w:val="none"/>
          <w:lang w:val="en-US" w:eastAsia="zh-CN"/>
        </w:rPr>
        <w:t>1年（含）以上</w:t>
      </w:r>
      <w:r>
        <w:rPr>
          <w:rFonts w:hint="eastAsia" w:ascii="宋体" w:hAnsi="宋体" w:eastAsia="仿宋_GB2312" w:cs="仿宋_GB2312"/>
          <w:color w:val="auto"/>
          <w:spacing w:val="0"/>
          <w:kern w:val="0"/>
          <w:sz w:val="30"/>
          <w:szCs w:val="30"/>
          <w:highlight w:val="none"/>
          <w:lang w:eastAsia="zh-CN"/>
        </w:rPr>
        <w:t>。</w:t>
      </w:r>
    </w:p>
    <w:p w14:paraId="678BD694">
      <w:pPr>
        <w:keepNext w:val="0"/>
        <w:keepLines w:val="0"/>
        <w:pageBreakBefore w:val="0"/>
        <w:widowControl w:val="0"/>
        <w:pBdr>
          <w:top w:val="none" w:color="auto" w:sz="0" w:space="0"/>
          <w:bottom w:val="none" w:color="auto" w:sz="0" w:space="0"/>
        </w:pBdr>
        <w:kinsoku/>
        <w:wordWrap/>
        <w:overflowPunct w:val="0"/>
        <w:topLinePunct w:val="0"/>
        <w:autoSpaceDE w:val="0"/>
        <w:autoSpaceDN w:val="0"/>
        <w:bidi w:val="0"/>
        <w:adjustRightInd/>
        <w:snapToGrid/>
        <w:spacing w:after="0" w:line="580" w:lineRule="exact"/>
        <w:ind w:left="596" w:leftChars="284" w:right="0" w:firstLine="0" w:firstLineChars="0"/>
        <w:textAlignment w:val="auto"/>
        <w:rPr>
          <w:rFonts w:hint="default" w:ascii="宋体" w:hAnsi="宋体" w:eastAsia="仿宋_GB2312" w:cs="仿宋_GB2312"/>
          <w:color w:val="auto"/>
          <w:spacing w:val="0"/>
          <w:kern w:val="0"/>
          <w:sz w:val="30"/>
          <w:szCs w:val="30"/>
          <w:highlight w:val="none"/>
          <w:lang w:eastAsia="zh-CN"/>
        </w:rPr>
      </w:pPr>
      <w:r>
        <w:rPr>
          <w:rFonts w:hint="eastAsia" w:ascii="宋体" w:hAnsi="宋体" w:eastAsia="仿宋_GB2312" w:cs="仿宋_GB2312"/>
          <w:color w:val="auto"/>
          <w:spacing w:val="0"/>
          <w:kern w:val="0"/>
          <w:sz w:val="30"/>
          <w:szCs w:val="30"/>
          <w:highlight w:val="none"/>
          <w:lang w:val="en-US" w:eastAsia="zh-CN"/>
        </w:rPr>
        <w:t>（二）</w:t>
      </w:r>
      <w:r>
        <w:rPr>
          <w:rFonts w:hint="eastAsia" w:ascii="宋体" w:hAnsi="宋体" w:eastAsia="仿宋_GB2312" w:cs="仿宋_GB2312"/>
          <w:color w:val="auto"/>
          <w:spacing w:val="0"/>
          <w:kern w:val="0"/>
          <w:sz w:val="30"/>
          <w:szCs w:val="30"/>
          <w:highlight w:val="none"/>
          <w:lang w:eastAsia="zh-CN"/>
        </w:rPr>
        <w:t>肉牛畜龄应在</w:t>
      </w:r>
      <w:r>
        <w:rPr>
          <w:rFonts w:hint="eastAsia" w:ascii="宋体" w:hAnsi="宋体" w:eastAsia="仿宋_GB2312" w:cs="仿宋_GB2312"/>
          <w:color w:val="auto"/>
          <w:spacing w:val="0"/>
          <w:kern w:val="0"/>
          <w:sz w:val="30"/>
          <w:szCs w:val="30"/>
          <w:highlight w:val="none"/>
          <w:lang w:val="en-US" w:eastAsia="zh-CN"/>
        </w:rPr>
        <w:t>6个月（含）以上，或体重100kg以上</w:t>
      </w:r>
      <w:r>
        <w:rPr>
          <w:rFonts w:hint="default" w:ascii="宋体" w:hAnsi="宋体" w:eastAsia="仿宋_GB2312" w:cs="仿宋_GB2312"/>
          <w:color w:val="auto"/>
          <w:spacing w:val="0"/>
          <w:kern w:val="0"/>
          <w:sz w:val="30"/>
          <w:szCs w:val="30"/>
          <w:highlight w:val="none"/>
          <w:lang w:eastAsia="zh-CN"/>
        </w:rPr>
        <w:t>。</w:t>
      </w:r>
    </w:p>
    <w:p w14:paraId="597BEE8F">
      <w:pPr>
        <w:keepNext w:val="0"/>
        <w:keepLines w:val="0"/>
        <w:pageBreakBefore w:val="0"/>
        <w:widowControl w:val="0"/>
        <w:pBdr>
          <w:top w:val="none" w:color="auto" w:sz="0" w:space="0"/>
          <w:bottom w:val="none" w:color="auto" w:sz="0" w:space="0"/>
        </w:pBdr>
        <w:kinsoku/>
        <w:wordWrap/>
        <w:overflowPunct w:val="0"/>
        <w:topLinePunct w:val="0"/>
        <w:autoSpaceDE w:val="0"/>
        <w:autoSpaceDN w:val="0"/>
        <w:bidi w:val="0"/>
        <w:adjustRightInd/>
        <w:snapToGrid/>
        <w:spacing w:after="0" w:line="580" w:lineRule="exact"/>
        <w:ind w:right="0" w:firstLine="600" w:firstLineChars="200"/>
        <w:textAlignment w:val="auto"/>
        <w:rPr>
          <w:rFonts w:hint="eastAsia" w:ascii="宋体" w:hAnsi="宋体" w:eastAsia="仿宋_GB2312" w:cs="仿宋_GB2312"/>
          <w:color w:val="auto"/>
          <w:spacing w:val="0"/>
          <w:kern w:val="0"/>
          <w:sz w:val="30"/>
          <w:szCs w:val="30"/>
          <w:highlight w:val="none"/>
          <w:lang w:eastAsia="zh-CN"/>
        </w:rPr>
      </w:pPr>
      <w:r>
        <w:rPr>
          <w:rFonts w:hint="eastAsia" w:ascii="宋体" w:hAnsi="宋体" w:eastAsia="仿宋_GB2312" w:cs="仿宋_GB2312"/>
          <w:color w:val="auto"/>
          <w:spacing w:val="0"/>
          <w:kern w:val="0"/>
          <w:sz w:val="30"/>
          <w:szCs w:val="30"/>
          <w:highlight w:val="none"/>
          <w:lang w:val="en-US" w:eastAsia="zh-CN"/>
        </w:rPr>
        <w:t>（三）经畜牧兽医部门验明无伤残，无本保险责任范围内的疫病，营养良好，饲养管理正常，能按畜牧防疫部门审定的免疫程序接种并有记录，且具有能识别身份的统一标识。</w:t>
      </w:r>
    </w:p>
    <w:p w14:paraId="0149F27B">
      <w:pPr>
        <w:keepNext w:val="0"/>
        <w:keepLines w:val="0"/>
        <w:pageBreakBefore w:val="0"/>
        <w:widowControl w:val="0"/>
        <w:pBdr>
          <w:top w:val="none" w:color="auto" w:sz="0" w:space="0"/>
          <w:bottom w:val="none" w:color="auto" w:sz="0" w:space="0"/>
        </w:pBdr>
        <w:kinsoku/>
        <w:wordWrap/>
        <w:overflowPunct w:val="0"/>
        <w:topLinePunct w:val="0"/>
        <w:autoSpaceDE w:val="0"/>
        <w:autoSpaceDN w:val="0"/>
        <w:bidi w:val="0"/>
        <w:adjustRightInd/>
        <w:snapToGrid/>
        <w:spacing w:after="0" w:line="580" w:lineRule="exact"/>
        <w:ind w:right="0" w:firstLine="600" w:firstLineChars="200"/>
        <w:textAlignment w:val="auto"/>
        <w:rPr>
          <w:rFonts w:hint="eastAsia" w:ascii="宋体" w:hAnsi="宋体" w:eastAsia="仿宋_GB2312" w:cs="仿宋_GB2312"/>
          <w:color w:val="auto"/>
          <w:spacing w:val="0"/>
          <w:kern w:val="0"/>
          <w:sz w:val="30"/>
          <w:szCs w:val="30"/>
          <w:highlight w:val="none"/>
          <w:lang w:val="en-US" w:eastAsia="zh-CN"/>
        </w:rPr>
      </w:pPr>
      <w:r>
        <w:rPr>
          <w:rFonts w:hint="eastAsia" w:ascii="宋体" w:hAnsi="宋体" w:eastAsia="仿宋_GB2312" w:cs="仿宋_GB2312"/>
          <w:color w:val="auto"/>
          <w:spacing w:val="0"/>
          <w:kern w:val="0"/>
          <w:sz w:val="30"/>
          <w:szCs w:val="30"/>
          <w:highlight w:val="none"/>
          <w:lang w:val="en-US" w:eastAsia="zh-CN"/>
        </w:rPr>
        <w:t>（四）饲养场所及设施符合动物管理卫生防疫规范，且管理制度健全、饲养圈舍卫生、能够保证饲养质量。</w:t>
      </w:r>
    </w:p>
    <w:p w14:paraId="1CFEB71B">
      <w:pPr>
        <w:keepNext w:val="0"/>
        <w:keepLines w:val="0"/>
        <w:pageBreakBefore w:val="0"/>
        <w:widowControl w:val="0"/>
        <w:pBdr>
          <w:top w:val="none" w:color="auto" w:sz="0" w:space="0"/>
          <w:bottom w:val="none" w:color="auto" w:sz="0" w:space="0"/>
        </w:pBdr>
        <w:kinsoku/>
        <w:wordWrap/>
        <w:overflowPunct w:val="0"/>
        <w:topLinePunct w:val="0"/>
        <w:autoSpaceDE w:val="0"/>
        <w:autoSpaceDN w:val="0"/>
        <w:bidi w:val="0"/>
        <w:adjustRightInd/>
        <w:snapToGrid/>
        <w:spacing w:after="0" w:line="580" w:lineRule="exact"/>
        <w:ind w:right="0" w:firstLine="600" w:firstLineChars="200"/>
        <w:textAlignment w:val="auto"/>
        <w:rPr>
          <w:rFonts w:hint="default" w:ascii="宋体" w:hAnsi="宋体"/>
          <w:sz w:val="30"/>
          <w:szCs w:val="30"/>
          <w:lang w:val="en-US" w:eastAsia="zh-CN"/>
        </w:rPr>
      </w:pPr>
      <w:r>
        <w:rPr>
          <w:rFonts w:hint="eastAsia" w:ascii="宋体" w:hAnsi="宋体" w:eastAsia="仿宋_GB2312" w:cs="仿宋_GB2312"/>
          <w:color w:val="auto"/>
          <w:spacing w:val="0"/>
          <w:kern w:val="0"/>
          <w:sz w:val="30"/>
          <w:szCs w:val="30"/>
          <w:highlight w:val="none"/>
          <w:lang w:val="en-US" w:eastAsia="zh-CN"/>
        </w:rPr>
        <w:t>（五）</w:t>
      </w:r>
      <w:r>
        <w:rPr>
          <w:rFonts w:hint="eastAsia" w:ascii="宋体" w:hAnsi="宋体" w:eastAsia="仿宋_GB2312" w:cs="仿宋_GB2312"/>
          <w:color w:val="auto"/>
          <w:spacing w:val="0"/>
          <w:kern w:val="0"/>
          <w:sz w:val="30"/>
          <w:szCs w:val="30"/>
          <w:highlight w:val="none"/>
          <w:lang w:eastAsia="zh-CN"/>
        </w:rPr>
        <w:t>饲养场所符合肉牛养殖场选址要求，且在当地洪水水位线以上的非蓄洪、非行洪区。</w:t>
      </w:r>
    </w:p>
    <w:p w14:paraId="3645E5FC">
      <w:pPr>
        <w:pStyle w:val="2"/>
        <w:keepNext w:val="0"/>
        <w:keepLines w:val="0"/>
        <w:pageBreakBefore w:val="0"/>
        <w:widowControl w:val="0"/>
        <w:numPr>
          <w:ilvl w:val="0"/>
          <w:numId w:val="0"/>
        </w:numPr>
        <w:pBdr>
          <w:top w:val="none" w:color="auto" w:sz="0" w:space="0"/>
          <w:bottom w:val="none" w:color="auto" w:sz="0" w:space="0"/>
        </w:pBdr>
        <w:kinsoku/>
        <w:wordWrap/>
        <w:overflowPunct w:val="0"/>
        <w:topLinePunct w:val="0"/>
        <w:bidi w:val="0"/>
        <w:adjustRightInd/>
        <w:snapToGrid/>
        <w:spacing w:after="0" w:line="580" w:lineRule="exact"/>
        <w:ind w:right="0" w:firstLine="600" w:firstLineChars="200"/>
        <w:textAlignment w:val="auto"/>
        <w:rPr>
          <w:rFonts w:hint="eastAsia" w:ascii="宋体" w:hAnsi="宋体" w:eastAsia="黑体" w:cs="黑体"/>
          <w:color w:val="auto"/>
          <w:kern w:val="0"/>
          <w:sz w:val="30"/>
          <w:szCs w:val="30"/>
          <w:lang w:val="en-US" w:eastAsia="zh-CN" w:bidi="ar-SA"/>
        </w:rPr>
      </w:pPr>
      <w:r>
        <w:rPr>
          <w:rFonts w:hint="eastAsia" w:ascii="宋体" w:hAnsi="宋体" w:eastAsia="黑体" w:cs="黑体"/>
          <w:color w:val="auto"/>
          <w:kern w:val="0"/>
          <w:sz w:val="30"/>
          <w:szCs w:val="30"/>
          <w:lang w:val="en-US" w:eastAsia="zh-CN" w:bidi="ar-SA"/>
        </w:rPr>
        <w:t>二、保障对象</w:t>
      </w:r>
    </w:p>
    <w:p w14:paraId="35BF17F6">
      <w:pPr>
        <w:pStyle w:val="2"/>
        <w:keepNext w:val="0"/>
        <w:keepLines w:val="0"/>
        <w:pageBreakBefore w:val="0"/>
        <w:widowControl w:val="0"/>
        <w:numPr>
          <w:ilvl w:val="0"/>
          <w:numId w:val="0"/>
        </w:numPr>
        <w:pBdr>
          <w:top w:val="none" w:color="auto" w:sz="0" w:space="0"/>
          <w:bottom w:val="none" w:color="auto" w:sz="0" w:space="0"/>
        </w:pBdr>
        <w:kinsoku/>
        <w:wordWrap/>
        <w:overflowPunct w:val="0"/>
        <w:topLinePunct w:val="0"/>
        <w:bidi w:val="0"/>
        <w:adjustRightInd/>
        <w:snapToGrid/>
        <w:spacing w:after="0" w:line="580" w:lineRule="exact"/>
        <w:ind w:right="0" w:firstLine="600" w:firstLineChars="200"/>
        <w:textAlignment w:val="auto"/>
        <w:rPr>
          <w:rFonts w:hint="eastAsia" w:ascii="宋体" w:hAnsi="宋体" w:eastAsia="仿宋_GB2312" w:cs="仿宋_GB2312"/>
          <w:color w:val="auto"/>
          <w:kern w:val="0"/>
          <w:sz w:val="30"/>
          <w:szCs w:val="30"/>
          <w:highlight w:val="none"/>
          <w:lang w:val="en-US" w:eastAsia="zh-CN"/>
        </w:rPr>
      </w:pPr>
      <w:r>
        <w:rPr>
          <w:rFonts w:hint="eastAsia" w:ascii="宋体" w:hAnsi="宋体" w:eastAsia="仿宋_GB2312" w:cs="仿宋_GB2312"/>
          <w:color w:val="auto"/>
          <w:kern w:val="0"/>
          <w:sz w:val="30"/>
          <w:szCs w:val="30"/>
          <w:highlight w:val="none"/>
          <w:lang w:val="en-US" w:eastAsia="zh-CN"/>
        </w:rPr>
        <w:t>有意愿投保的所有养殖企业、养殖场、养殖户。</w:t>
      </w:r>
    </w:p>
    <w:p w14:paraId="45E0309A">
      <w:pPr>
        <w:pStyle w:val="2"/>
        <w:keepNext w:val="0"/>
        <w:keepLines w:val="0"/>
        <w:pageBreakBefore w:val="0"/>
        <w:widowControl w:val="0"/>
        <w:numPr>
          <w:ilvl w:val="0"/>
          <w:numId w:val="0"/>
        </w:numPr>
        <w:pBdr>
          <w:top w:val="none" w:color="auto" w:sz="0" w:space="0"/>
          <w:bottom w:val="none" w:color="auto" w:sz="0" w:space="0"/>
        </w:pBdr>
        <w:kinsoku/>
        <w:wordWrap/>
        <w:overflowPunct w:val="0"/>
        <w:topLinePunct w:val="0"/>
        <w:bidi w:val="0"/>
        <w:adjustRightInd/>
        <w:snapToGrid/>
        <w:spacing w:after="0" w:line="580" w:lineRule="exact"/>
        <w:ind w:right="0" w:firstLine="600" w:firstLineChars="200"/>
        <w:textAlignment w:val="auto"/>
        <w:rPr>
          <w:rFonts w:hint="eastAsia" w:ascii="宋体" w:hAnsi="宋体" w:eastAsia="黑体" w:cs="黑体"/>
          <w:color w:val="auto"/>
          <w:kern w:val="0"/>
          <w:sz w:val="30"/>
          <w:szCs w:val="30"/>
          <w:lang w:val="en-US" w:eastAsia="zh-CN" w:bidi="ar-SA"/>
        </w:rPr>
      </w:pPr>
      <w:r>
        <w:rPr>
          <w:rFonts w:hint="eastAsia" w:ascii="宋体" w:hAnsi="宋体" w:eastAsia="黑体" w:cs="黑体"/>
          <w:color w:val="auto"/>
          <w:kern w:val="0"/>
          <w:sz w:val="30"/>
          <w:szCs w:val="30"/>
          <w:lang w:val="en-US" w:eastAsia="zh-CN" w:bidi="ar-SA"/>
        </w:rPr>
        <w:t>三、保险责任</w:t>
      </w:r>
    </w:p>
    <w:p w14:paraId="471F297E">
      <w:pPr>
        <w:keepNext w:val="0"/>
        <w:keepLines w:val="0"/>
        <w:pageBreakBefore w:val="0"/>
        <w:widowControl w:val="0"/>
        <w:pBdr>
          <w:top w:val="none" w:color="auto" w:sz="0" w:space="0"/>
          <w:bottom w:val="none" w:color="auto" w:sz="0" w:space="0"/>
        </w:pBdr>
        <w:kinsoku/>
        <w:wordWrap/>
        <w:overflowPunct w:val="0"/>
        <w:topLinePunct w:val="0"/>
        <w:autoSpaceDE w:val="0"/>
        <w:autoSpaceDN w:val="0"/>
        <w:bidi w:val="0"/>
        <w:adjustRightInd/>
        <w:snapToGrid/>
        <w:spacing w:before="0" w:after="0" w:line="580" w:lineRule="exact"/>
        <w:ind w:left="0" w:right="0" w:firstLine="600" w:firstLineChars="200"/>
        <w:jc w:val="both"/>
        <w:textAlignment w:val="auto"/>
        <w:rPr>
          <w:rFonts w:hint="eastAsia" w:ascii="宋体" w:hAnsi="宋体"/>
          <w:sz w:val="30"/>
          <w:szCs w:val="30"/>
          <w:lang w:eastAsia="zh-CN"/>
        </w:rPr>
      </w:pPr>
      <w:r>
        <w:rPr>
          <w:rFonts w:hint="eastAsia" w:ascii="宋体" w:hAnsi="宋体" w:eastAsia="仿宋_GB2312" w:cs="仿宋_GB2312"/>
          <w:color w:val="auto"/>
          <w:spacing w:val="0"/>
          <w:kern w:val="0"/>
          <w:sz w:val="30"/>
          <w:szCs w:val="30"/>
          <w:highlight w:val="none"/>
          <w:lang w:eastAsia="zh-CN"/>
        </w:rPr>
        <w:t>肉牛养殖保险责任为人力无法抗拒的动物病害、自然灾害、意外事故以及政府强制扑杀所导致投保标的直接死亡造成的损失；强制扑杀导致保险标的死亡，赔偿金额以保险金额扣减政府扑杀专项补贴金额的差额为限。具体保险责任和免除责任见下表：</w:t>
      </w:r>
    </w:p>
    <w:p w14:paraId="328EBEE6">
      <w:pPr>
        <w:keepNext w:val="0"/>
        <w:keepLines w:val="0"/>
        <w:pageBreakBefore w:val="0"/>
        <w:widowControl w:val="0"/>
        <w:pBdr>
          <w:top w:val="none" w:color="auto" w:sz="0" w:space="0"/>
          <w:bottom w:val="none" w:color="auto" w:sz="0" w:space="0"/>
        </w:pBdr>
        <w:kinsoku/>
        <w:wordWrap/>
        <w:overflowPunct/>
        <w:topLinePunct w:val="0"/>
        <w:autoSpaceDE w:val="0"/>
        <w:autoSpaceDN w:val="0"/>
        <w:bidi w:val="0"/>
        <w:adjustRightInd/>
        <w:snapToGrid/>
        <w:spacing w:before="0" w:after="160" w:line="590" w:lineRule="exact"/>
        <w:ind w:left="0" w:right="0" w:firstLine="0"/>
        <w:jc w:val="center"/>
        <w:textAlignment w:val="auto"/>
        <w:rPr>
          <w:rFonts w:hint="eastAsia" w:ascii="宋体" w:hAnsi="宋体" w:eastAsia="黑体" w:cs="黑体"/>
          <w:kern w:val="0"/>
          <w:sz w:val="30"/>
          <w:szCs w:val="30"/>
          <w:lang w:eastAsia="en-US"/>
        </w:rPr>
      </w:pPr>
      <w:r>
        <w:rPr>
          <w:rFonts w:hint="eastAsia" w:ascii="宋体" w:hAnsi="宋体" w:eastAsia="黑体" w:cs="黑体"/>
          <w:kern w:val="0"/>
          <w:sz w:val="30"/>
          <w:szCs w:val="30"/>
          <w:lang w:eastAsia="zh-CN"/>
        </w:rPr>
        <w:t>云南省</w:t>
      </w:r>
      <w:r>
        <w:rPr>
          <w:rFonts w:hint="eastAsia" w:ascii="宋体" w:hAnsi="宋体" w:eastAsia="黑体" w:cs="黑体"/>
          <w:spacing w:val="-1"/>
          <w:kern w:val="0"/>
          <w:sz w:val="30"/>
          <w:szCs w:val="30"/>
          <w:lang w:eastAsia="en-US"/>
        </w:rPr>
        <w:t>财政补贴肉牛</w:t>
      </w:r>
      <w:r>
        <w:rPr>
          <w:rFonts w:hint="eastAsia" w:ascii="宋体" w:hAnsi="宋体" w:eastAsia="黑体" w:cs="黑体"/>
          <w:spacing w:val="-1"/>
          <w:kern w:val="0"/>
          <w:sz w:val="30"/>
          <w:szCs w:val="30"/>
          <w:lang w:eastAsia="zh-CN"/>
        </w:rPr>
        <w:t>养殖</w:t>
      </w:r>
      <w:r>
        <w:rPr>
          <w:rFonts w:hint="eastAsia" w:ascii="宋体" w:hAnsi="宋体" w:eastAsia="黑体" w:cs="黑体"/>
          <w:spacing w:val="-1"/>
          <w:kern w:val="0"/>
          <w:sz w:val="30"/>
          <w:szCs w:val="30"/>
          <w:lang w:eastAsia="en-US"/>
        </w:rPr>
        <w:t>保险责任和免除</w:t>
      </w:r>
    </w:p>
    <w:tbl>
      <w:tblPr>
        <w:tblStyle w:val="3"/>
        <w:tblW w:w="84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7500"/>
      </w:tblGrid>
      <w:tr w14:paraId="0373C2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959" w:type="dxa"/>
            <w:tcBorders>
              <w:top w:val="single" w:color="auto" w:sz="4" w:space="0"/>
              <w:left w:val="single" w:color="auto" w:sz="4" w:space="0"/>
              <w:bottom w:val="single" w:color="auto" w:sz="4" w:space="0"/>
              <w:right w:val="single" w:color="auto" w:sz="4" w:space="0"/>
            </w:tcBorders>
            <w:noWrap w:val="0"/>
            <w:vAlign w:val="center"/>
          </w:tcPr>
          <w:p w14:paraId="52D09AB4">
            <w:pPr>
              <w:keepNext w:val="0"/>
              <w:keepLines w:val="0"/>
              <w:pageBreakBefore w:val="0"/>
              <w:widowControl w:val="0"/>
              <w:numPr>
                <w:ilvl w:val="0"/>
                <w:numId w:val="0"/>
              </w:numPr>
              <w:pBdr>
                <w:top w:val="none" w:color="auto" w:sz="0" w:space="0"/>
                <w:bottom w:val="none" w:color="auto" w:sz="0" w:space="0"/>
              </w:pBdr>
              <w:kinsoku/>
              <w:wordWrap/>
              <w:overflowPunct/>
              <w:topLinePunct w:val="0"/>
              <w:autoSpaceDE/>
              <w:autoSpaceDN/>
              <w:bidi w:val="0"/>
              <w:adjustRightInd/>
              <w:snapToGrid/>
              <w:spacing w:after="0" w:line="440" w:lineRule="exact"/>
              <w:ind w:firstLine="0" w:firstLineChars="0"/>
              <w:jc w:val="center"/>
              <w:textAlignment w:val="auto"/>
              <w:rPr>
                <w:rFonts w:hint="eastAsia" w:ascii="宋体" w:hAnsi="宋体" w:eastAsia="黑体" w:cs="黑体"/>
                <w:color w:val="auto"/>
                <w:sz w:val="24"/>
                <w:szCs w:val="24"/>
                <w:lang w:val="en-US" w:eastAsia="en-US"/>
              </w:rPr>
            </w:pPr>
            <w:r>
              <w:rPr>
                <w:rFonts w:hint="eastAsia" w:ascii="宋体" w:hAnsi="宋体" w:eastAsia="黑体" w:cs="黑体"/>
                <w:color w:val="auto"/>
                <w:sz w:val="24"/>
                <w:szCs w:val="24"/>
                <w:lang w:val="en-US" w:eastAsia="en-US"/>
              </w:rPr>
              <w:t>险种</w:t>
            </w:r>
          </w:p>
        </w:tc>
        <w:tc>
          <w:tcPr>
            <w:tcW w:w="7500" w:type="dxa"/>
            <w:tcBorders>
              <w:top w:val="single" w:color="auto" w:sz="4" w:space="0"/>
              <w:left w:val="single" w:color="auto" w:sz="4" w:space="0"/>
              <w:bottom w:val="single" w:color="auto" w:sz="4" w:space="0"/>
              <w:right w:val="single" w:color="auto" w:sz="4" w:space="0"/>
            </w:tcBorders>
            <w:noWrap w:val="0"/>
            <w:vAlign w:val="center"/>
          </w:tcPr>
          <w:p w14:paraId="22A483B7">
            <w:pPr>
              <w:keepNext w:val="0"/>
              <w:keepLines w:val="0"/>
              <w:pageBreakBefore w:val="0"/>
              <w:widowControl w:val="0"/>
              <w:numPr>
                <w:ilvl w:val="0"/>
                <w:numId w:val="0"/>
              </w:numPr>
              <w:pBdr>
                <w:top w:val="none" w:color="auto" w:sz="0" w:space="0"/>
                <w:bottom w:val="none" w:color="auto" w:sz="0" w:space="0"/>
              </w:pBdr>
              <w:kinsoku/>
              <w:wordWrap/>
              <w:overflowPunct/>
              <w:topLinePunct w:val="0"/>
              <w:autoSpaceDE/>
              <w:autoSpaceDN/>
              <w:bidi w:val="0"/>
              <w:adjustRightInd/>
              <w:snapToGrid/>
              <w:spacing w:after="0" w:line="440" w:lineRule="exact"/>
              <w:ind w:firstLine="0" w:firstLineChars="0"/>
              <w:jc w:val="center"/>
              <w:textAlignment w:val="auto"/>
              <w:rPr>
                <w:rFonts w:hint="eastAsia" w:ascii="宋体" w:hAnsi="宋体" w:eastAsia="黑体" w:cs="黑体"/>
                <w:color w:val="auto"/>
                <w:sz w:val="24"/>
                <w:szCs w:val="24"/>
                <w:lang w:val="en-US" w:eastAsia="en-US"/>
              </w:rPr>
            </w:pPr>
            <w:r>
              <w:rPr>
                <w:rFonts w:hint="eastAsia" w:ascii="宋体" w:hAnsi="宋体" w:eastAsia="黑体" w:cs="黑体"/>
                <w:color w:val="auto"/>
                <w:sz w:val="24"/>
                <w:szCs w:val="24"/>
                <w:lang w:val="en-US" w:eastAsia="en-US"/>
              </w:rPr>
              <w:t>保险责任</w:t>
            </w:r>
          </w:p>
        </w:tc>
      </w:tr>
      <w:tr w14:paraId="2082B8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1" w:hRule="atLeast"/>
          <w:jc w:val="center"/>
        </w:trPr>
        <w:tc>
          <w:tcPr>
            <w:tcW w:w="959" w:type="dxa"/>
            <w:tcBorders>
              <w:top w:val="single" w:color="auto" w:sz="4" w:space="0"/>
              <w:left w:val="single" w:color="auto" w:sz="4" w:space="0"/>
              <w:bottom w:val="single" w:color="auto" w:sz="4" w:space="0"/>
              <w:right w:val="single" w:color="auto" w:sz="4" w:space="0"/>
            </w:tcBorders>
            <w:noWrap w:val="0"/>
            <w:vAlign w:val="center"/>
          </w:tcPr>
          <w:p w14:paraId="67D93590">
            <w:pPr>
              <w:keepNext w:val="0"/>
              <w:keepLines w:val="0"/>
              <w:pageBreakBefore w:val="0"/>
              <w:widowControl w:val="0"/>
              <w:numPr>
                <w:ilvl w:val="0"/>
                <w:numId w:val="0"/>
              </w:numPr>
              <w:pBdr>
                <w:top w:val="none" w:color="auto" w:sz="0" w:space="0"/>
                <w:bottom w:val="none" w:color="auto" w:sz="0" w:space="0"/>
              </w:pBdr>
              <w:kinsoku/>
              <w:wordWrap/>
              <w:overflowPunct/>
              <w:topLinePunct w:val="0"/>
              <w:autoSpaceDE/>
              <w:autoSpaceDN/>
              <w:bidi w:val="0"/>
              <w:adjustRightInd/>
              <w:snapToGrid/>
              <w:spacing w:after="0" w:line="440" w:lineRule="exact"/>
              <w:ind w:firstLine="0" w:firstLineChars="0"/>
              <w:jc w:val="center"/>
              <w:textAlignment w:val="auto"/>
              <w:rPr>
                <w:rFonts w:hint="default" w:ascii="宋体" w:hAnsi="宋体" w:eastAsia="仿宋_GB2312" w:cs="仿宋_GB2312"/>
                <w:color w:val="auto"/>
                <w:sz w:val="24"/>
                <w:szCs w:val="24"/>
                <w:lang w:val="en-US" w:eastAsia="en-US"/>
              </w:rPr>
            </w:pPr>
            <w:r>
              <w:rPr>
                <w:rFonts w:hint="default" w:ascii="宋体" w:hAnsi="宋体" w:eastAsia="仿宋_GB2312" w:cs="仿宋_GB2312"/>
                <w:color w:val="auto"/>
                <w:sz w:val="24"/>
                <w:szCs w:val="24"/>
                <w:lang w:val="en-US" w:eastAsia="en-US"/>
              </w:rPr>
              <w:t>肉牛</w:t>
            </w:r>
          </w:p>
          <w:p w14:paraId="5692F357">
            <w:pPr>
              <w:keepNext w:val="0"/>
              <w:keepLines w:val="0"/>
              <w:pageBreakBefore w:val="0"/>
              <w:widowControl w:val="0"/>
              <w:numPr>
                <w:ilvl w:val="0"/>
                <w:numId w:val="0"/>
              </w:numPr>
              <w:pBdr>
                <w:top w:val="none" w:color="auto" w:sz="0" w:space="0"/>
                <w:bottom w:val="none" w:color="auto" w:sz="0" w:space="0"/>
              </w:pBdr>
              <w:kinsoku/>
              <w:wordWrap/>
              <w:overflowPunct/>
              <w:topLinePunct w:val="0"/>
              <w:autoSpaceDE/>
              <w:autoSpaceDN/>
              <w:bidi w:val="0"/>
              <w:adjustRightInd/>
              <w:snapToGrid/>
              <w:spacing w:after="0" w:line="440" w:lineRule="exact"/>
              <w:ind w:firstLine="0" w:firstLineChars="0"/>
              <w:jc w:val="center"/>
              <w:textAlignment w:val="auto"/>
              <w:rPr>
                <w:rFonts w:hint="eastAsia" w:ascii="宋体" w:hAnsi="宋体" w:eastAsia="仿宋_GB2312" w:cs="仿宋_GB2312"/>
                <w:color w:val="auto"/>
                <w:sz w:val="24"/>
                <w:szCs w:val="24"/>
                <w:lang w:val="en-US" w:eastAsia="zh-CN"/>
              </w:rPr>
            </w:pPr>
            <w:r>
              <w:rPr>
                <w:rFonts w:hint="eastAsia" w:ascii="宋体" w:hAnsi="宋体" w:eastAsia="仿宋_GB2312" w:cs="仿宋_GB2312"/>
                <w:color w:val="auto"/>
                <w:sz w:val="24"/>
                <w:szCs w:val="24"/>
                <w:lang w:val="en-US" w:eastAsia="zh-CN"/>
              </w:rPr>
              <w:t>养殖</w:t>
            </w:r>
          </w:p>
        </w:tc>
        <w:tc>
          <w:tcPr>
            <w:tcW w:w="7500" w:type="dxa"/>
            <w:tcBorders>
              <w:top w:val="single" w:color="auto" w:sz="4" w:space="0"/>
              <w:left w:val="single" w:color="auto" w:sz="4" w:space="0"/>
              <w:bottom w:val="single" w:color="auto" w:sz="4" w:space="0"/>
              <w:right w:val="single" w:color="auto" w:sz="4" w:space="0"/>
            </w:tcBorders>
            <w:noWrap w:val="0"/>
            <w:vAlign w:val="center"/>
          </w:tcPr>
          <w:p w14:paraId="2BC0218C">
            <w:pPr>
              <w:keepNext w:val="0"/>
              <w:keepLines w:val="0"/>
              <w:pageBreakBefore w:val="0"/>
              <w:widowControl w:val="0"/>
              <w:numPr>
                <w:ilvl w:val="0"/>
                <w:numId w:val="0"/>
              </w:numPr>
              <w:pBdr>
                <w:top w:val="none" w:color="auto" w:sz="0" w:space="0"/>
                <w:bottom w:val="none" w:color="auto" w:sz="0" w:space="0"/>
              </w:pBdr>
              <w:kinsoku/>
              <w:wordWrap/>
              <w:overflowPunct/>
              <w:topLinePunct w:val="0"/>
              <w:autoSpaceDE/>
              <w:autoSpaceDN/>
              <w:bidi w:val="0"/>
              <w:adjustRightInd/>
              <w:snapToGrid/>
              <w:spacing w:after="0" w:line="440" w:lineRule="exact"/>
              <w:ind w:firstLine="0" w:firstLineChars="0"/>
              <w:jc w:val="both"/>
              <w:textAlignment w:val="auto"/>
              <w:rPr>
                <w:rFonts w:hint="default" w:ascii="宋体" w:hAnsi="宋体" w:eastAsia="仿宋_GB2312" w:cs="仿宋_GB2312"/>
                <w:color w:val="auto"/>
                <w:sz w:val="24"/>
                <w:szCs w:val="24"/>
                <w:lang w:val="en-US" w:eastAsia="en-US"/>
              </w:rPr>
            </w:pPr>
            <w:r>
              <w:rPr>
                <w:rFonts w:hint="eastAsia" w:ascii="宋体" w:hAnsi="宋体" w:eastAsia="仿宋_GB2312" w:cs="仿宋_GB2312"/>
                <w:color w:val="auto"/>
                <w:sz w:val="24"/>
                <w:szCs w:val="24"/>
                <w:lang w:val="en-US" w:eastAsia="en-US"/>
              </w:rPr>
              <w:t>1.因口蹄疫、布鲁氏菌病、牛结核病、牛焦虫病、</w:t>
            </w:r>
            <w:r>
              <w:rPr>
                <w:rFonts w:hint="eastAsia" w:ascii="宋体" w:hAnsi="宋体" w:eastAsia="仿宋_GB2312" w:cs="仿宋_GB2312"/>
                <w:color w:val="auto"/>
                <w:sz w:val="24"/>
                <w:szCs w:val="24"/>
                <w:lang w:val="en-US" w:eastAsia="zh-CN"/>
              </w:rPr>
              <w:t>炭疽</w:t>
            </w:r>
            <w:r>
              <w:rPr>
                <w:rFonts w:hint="eastAsia" w:ascii="宋体" w:hAnsi="宋体" w:eastAsia="仿宋_GB2312" w:cs="仿宋_GB2312"/>
                <w:color w:val="auto"/>
                <w:sz w:val="24"/>
                <w:szCs w:val="24"/>
                <w:lang w:val="en-US" w:eastAsia="en-US"/>
              </w:rPr>
              <w:t>、伪狂犬病、副结核病、牛传染性鼻气管炎、牛出血性败血症、日本血吸虫病等动物疾病所导致的投保个体直接死亡。</w:t>
            </w:r>
            <w:r>
              <w:rPr>
                <w:rFonts w:hint="eastAsia" w:ascii="宋体" w:hAnsi="宋体" w:eastAsia="仿宋_GB2312" w:cs="仿宋_GB2312"/>
                <w:color w:val="auto"/>
                <w:sz w:val="24"/>
                <w:szCs w:val="24"/>
                <w:lang w:val="en-US" w:eastAsia="en-US"/>
              </w:rPr>
              <w:br w:type="textWrapping"/>
            </w:r>
            <w:r>
              <w:rPr>
                <w:rFonts w:hint="eastAsia" w:ascii="宋体" w:hAnsi="宋体" w:eastAsia="仿宋_GB2312" w:cs="仿宋_GB2312"/>
                <w:color w:val="auto"/>
                <w:sz w:val="24"/>
                <w:szCs w:val="24"/>
                <w:lang w:val="en-US" w:eastAsia="en-US"/>
              </w:rPr>
              <w:t>2.因火灾、爆炸、暴雨、洪水（政府行蓄洪除外）、风灾、雷击、冰雹、冻灾、泥石流、山体滑坡、地震等自然灾害所导致的投保个体直接死亡。</w:t>
            </w:r>
            <w:r>
              <w:rPr>
                <w:rFonts w:hint="eastAsia" w:ascii="宋体" w:hAnsi="宋体" w:eastAsia="仿宋_GB2312" w:cs="仿宋_GB2312"/>
                <w:color w:val="auto"/>
                <w:sz w:val="24"/>
                <w:szCs w:val="24"/>
                <w:lang w:val="en-US" w:eastAsia="en-US"/>
              </w:rPr>
              <w:br w:type="textWrapping"/>
            </w:r>
            <w:r>
              <w:rPr>
                <w:rFonts w:hint="eastAsia" w:ascii="宋体" w:hAnsi="宋体" w:eastAsia="仿宋_GB2312" w:cs="仿宋_GB2312"/>
                <w:color w:val="auto"/>
                <w:sz w:val="24"/>
                <w:szCs w:val="24"/>
                <w:lang w:val="en-US" w:eastAsia="en-US"/>
              </w:rPr>
              <w:t>3.因建筑物倒塌、空中运行物体坠落；难产、意外坠崖等意外事故以及强制扑杀所导致的投保个体直接死亡。</w:t>
            </w:r>
            <w:r>
              <w:rPr>
                <w:rFonts w:hint="eastAsia" w:ascii="宋体" w:hAnsi="宋体" w:eastAsia="仿宋_GB2312" w:cs="仿宋_GB2312"/>
                <w:color w:val="auto"/>
                <w:sz w:val="24"/>
                <w:szCs w:val="24"/>
                <w:lang w:val="en-US" w:eastAsia="en-US"/>
              </w:rPr>
              <w:br w:type="textWrapping"/>
            </w:r>
            <w:r>
              <w:rPr>
                <w:rFonts w:hint="eastAsia" w:ascii="宋体" w:hAnsi="宋体" w:eastAsia="仿宋_GB2312" w:cs="仿宋_GB2312"/>
                <w:color w:val="auto"/>
                <w:sz w:val="24"/>
                <w:szCs w:val="24"/>
                <w:lang w:val="en-US" w:eastAsia="en-US"/>
              </w:rPr>
              <w:t>4.强制扑杀导致保险标的死亡，赔偿金额以保险金额扣减政府扑杀补贴金额为限。</w:t>
            </w:r>
          </w:p>
        </w:tc>
      </w:tr>
      <w:tr w14:paraId="10D6C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959" w:type="dxa"/>
            <w:tcBorders>
              <w:top w:val="single" w:color="auto" w:sz="4" w:space="0"/>
              <w:left w:val="single" w:color="auto" w:sz="4" w:space="0"/>
              <w:bottom w:val="single" w:color="auto" w:sz="4" w:space="0"/>
              <w:right w:val="single" w:color="auto" w:sz="4" w:space="0"/>
            </w:tcBorders>
            <w:noWrap w:val="0"/>
            <w:vAlign w:val="top"/>
          </w:tcPr>
          <w:p w14:paraId="2056F45C">
            <w:pPr>
              <w:keepNext w:val="0"/>
              <w:keepLines w:val="0"/>
              <w:pageBreakBefore w:val="0"/>
              <w:widowControl w:val="0"/>
              <w:numPr>
                <w:ilvl w:val="0"/>
                <w:numId w:val="0"/>
              </w:numPr>
              <w:pBdr>
                <w:top w:val="none" w:color="auto" w:sz="0" w:space="0"/>
                <w:bottom w:val="none" w:color="auto" w:sz="0" w:space="0"/>
              </w:pBdr>
              <w:kinsoku/>
              <w:wordWrap/>
              <w:overflowPunct/>
              <w:topLinePunct w:val="0"/>
              <w:autoSpaceDE/>
              <w:autoSpaceDN/>
              <w:bidi w:val="0"/>
              <w:adjustRightInd/>
              <w:snapToGrid/>
              <w:spacing w:after="0" w:line="440" w:lineRule="exact"/>
              <w:ind w:firstLine="0" w:firstLineChars="0"/>
              <w:jc w:val="center"/>
              <w:textAlignment w:val="auto"/>
              <w:rPr>
                <w:rFonts w:hint="default" w:ascii="宋体" w:hAnsi="宋体" w:eastAsia="仿宋_GB2312" w:cs="仿宋_GB2312"/>
                <w:color w:val="auto"/>
                <w:sz w:val="24"/>
                <w:szCs w:val="24"/>
                <w:lang w:val="en-US" w:eastAsia="en-US"/>
              </w:rPr>
            </w:pPr>
          </w:p>
        </w:tc>
        <w:tc>
          <w:tcPr>
            <w:tcW w:w="7500" w:type="dxa"/>
            <w:tcBorders>
              <w:top w:val="single" w:color="auto" w:sz="4" w:space="0"/>
              <w:left w:val="single" w:color="auto" w:sz="4" w:space="0"/>
              <w:bottom w:val="single" w:color="auto" w:sz="4" w:space="0"/>
              <w:right w:val="single" w:color="auto" w:sz="4" w:space="0"/>
            </w:tcBorders>
            <w:noWrap w:val="0"/>
            <w:vAlign w:val="center"/>
          </w:tcPr>
          <w:p w14:paraId="66312FE5">
            <w:pPr>
              <w:keepNext w:val="0"/>
              <w:keepLines w:val="0"/>
              <w:pageBreakBefore w:val="0"/>
              <w:widowControl w:val="0"/>
              <w:numPr>
                <w:ilvl w:val="0"/>
                <w:numId w:val="0"/>
              </w:numPr>
              <w:pBdr>
                <w:top w:val="none" w:color="auto" w:sz="0" w:space="0"/>
                <w:bottom w:val="none" w:color="auto" w:sz="0" w:space="0"/>
              </w:pBdr>
              <w:kinsoku/>
              <w:wordWrap/>
              <w:overflowPunct/>
              <w:topLinePunct w:val="0"/>
              <w:autoSpaceDE/>
              <w:autoSpaceDN/>
              <w:bidi w:val="0"/>
              <w:adjustRightInd/>
              <w:snapToGrid/>
              <w:spacing w:after="0" w:line="440" w:lineRule="exact"/>
              <w:ind w:firstLine="0" w:firstLineChars="0"/>
              <w:jc w:val="both"/>
              <w:textAlignment w:val="auto"/>
              <w:rPr>
                <w:rFonts w:hint="default" w:ascii="宋体" w:hAnsi="宋体" w:eastAsia="仿宋_GB2312" w:cs="仿宋_GB2312"/>
                <w:color w:val="auto"/>
                <w:sz w:val="24"/>
                <w:szCs w:val="24"/>
                <w:lang w:val="en-US" w:eastAsia="en-US"/>
              </w:rPr>
            </w:pPr>
            <w:r>
              <w:rPr>
                <w:rFonts w:hint="eastAsia" w:ascii="宋体" w:hAnsi="宋体" w:eastAsia="仿宋_GB2312" w:cs="仿宋_GB2312"/>
                <w:color w:val="auto"/>
                <w:sz w:val="24"/>
                <w:szCs w:val="24"/>
                <w:lang w:val="en-US" w:eastAsia="en-US"/>
              </w:rPr>
              <w:t>保险责任免除</w:t>
            </w:r>
          </w:p>
        </w:tc>
      </w:tr>
      <w:tr w14:paraId="0E9290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5" w:hRule="atLeast"/>
          <w:jc w:val="center"/>
        </w:trPr>
        <w:tc>
          <w:tcPr>
            <w:tcW w:w="959" w:type="dxa"/>
            <w:tcBorders>
              <w:top w:val="single" w:color="auto" w:sz="4" w:space="0"/>
              <w:left w:val="single" w:color="auto" w:sz="4" w:space="0"/>
              <w:bottom w:val="single" w:color="auto" w:sz="4" w:space="0"/>
              <w:right w:val="single" w:color="auto" w:sz="4" w:space="0"/>
            </w:tcBorders>
            <w:noWrap w:val="0"/>
            <w:vAlign w:val="center"/>
          </w:tcPr>
          <w:p w14:paraId="47DA733E">
            <w:pPr>
              <w:keepNext w:val="0"/>
              <w:keepLines w:val="0"/>
              <w:pageBreakBefore w:val="0"/>
              <w:widowControl w:val="0"/>
              <w:numPr>
                <w:ilvl w:val="0"/>
                <w:numId w:val="0"/>
              </w:numPr>
              <w:pBdr>
                <w:top w:val="none" w:color="auto" w:sz="0" w:space="0"/>
                <w:bottom w:val="none" w:color="auto" w:sz="0" w:space="0"/>
              </w:pBdr>
              <w:kinsoku/>
              <w:wordWrap/>
              <w:overflowPunct/>
              <w:topLinePunct w:val="0"/>
              <w:autoSpaceDE/>
              <w:autoSpaceDN/>
              <w:bidi w:val="0"/>
              <w:adjustRightInd/>
              <w:snapToGrid/>
              <w:spacing w:after="0" w:line="440" w:lineRule="exact"/>
              <w:ind w:firstLine="0" w:firstLineChars="0"/>
              <w:jc w:val="center"/>
              <w:textAlignment w:val="auto"/>
              <w:rPr>
                <w:rFonts w:hint="default" w:ascii="宋体" w:hAnsi="宋体" w:eastAsia="仿宋_GB2312" w:cs="仿宋_GB2312"/>
                <w:color w:val="auto"/>
                <w:sz w:val="24"/>
                <w:szCs w:val="24"/>
                <w:lang w:val="en-US" w:eastAsia="en-US"/>
              </w:rPr>
            </w:pPr>
            <w:r>
              <w:rPr>
                <w:rFonts w:hint="default" w:ascii="宋体" w:hAnsi="宋体" w:eastAsia="仿宋_GB2312" w:cs="仿宋_GB2312"/>
                <w:color w:val="auto"/>
                <w:sz w:val="24"/>
                <w:szCs w:val="24"/>
                <w:lang w:val="en-US" w:eastAsia="en-US"/>
              </w:rPr>
              <w:t>肉牛</w:t>
            </w:r>
          </w:p>
          <w:p w14:paraId="6E1A8785">
            <w:pPr>
              <w:keepNext w:val="0"/>
              <w:keepLines w:val="0"/>
              <w:pageBreakBefore w:val="0"/>
              <w:widowControl w:val="0"/>
              <w:numPr>
                <w:ilvl w:val="0"/>
                <w:numId w:val="0"/>
              </w:numPr>
              <w:pBdr>
                <w:top w:val="none" w:color="auto" w:sz="0" w:space="0"/>
                <w:bottom w:val="none" w:color="auto" w:sz="0" w:space="0"/>
              </w:pBdr>
              <w:kinsoku/>
              <w:wordWrap/>
              <w:overflowPunct/>
              <w:topLinePunct w:val="0"/>
              <w:autoSpaceDE/>
              <w:autoSpaceDN/>
              <w:bidi w:val="0"/>
              <w:adjustRightInd/>
              <w:snapToGrid/>
              <w:spacing w:after="0" w:line="440" w:lineRule="exact"/>
              <w:ind w:firstLine="0" w:firstLineChars="0"/>
              <w:jc w:val="center"/>
              <w:textAlignment w:val="auto"/>
              <w:rPr>
                <w:rFonts w:hint="eastAsia" w:ascii="宋体" w:hAnsi="宋体" w:eastAsia="仿宋_GB2312" w:cs="仿宋_GB2312"/>
                <w:color w:val="auto"/>
                <w:sz w:val="24"/>
                <w:szCs w:val="24"/>
                <w:lang w:val="en-US" w:eastAsia="zh-CN"/>
              </w:rPr>
            </w:pPr>
            <w:r>
              <w:rPr>
                <w:rFonts w:hint="eastAsia" w:ascii="宋体" w:hAnsi="宋体" w:eastAsia="仿宋_GB2312" w:cs="仿宋_GB2312"/>
                <w:color w:val="auto"/>
                <w:sz w:val="24"/>
                <w:szCs w:val="24"/>
                <w:lang w:val="en-US" w:eastAsia="zh-CN"/>
              </w:rPr>
              <w:t>养殖</w:t>
            </w:r>
          </w:p>
        </w:tc>
        <w:tc>
          <w:tcPr>
            <w:tcW w:w="7500" w:type="dxa"/>
            <w:tcBorders>
              <w:top w:val="single" w:color="auto" w:sz="4" w:space="0"/>
              <w:left w:val="single" w:color="auto" w:sz="4" w:space="0"/>
              <w:bottom w:val="single" w:color="auto" w:sz="4" w:space="0"/>
              <w:right w:val="single" w:color="auto" w:sz="4" w:space="0"/>
            </w:tcBorders>
            <w:noWrap w:val="0"/>
            <w:vAlign w:val="center"/>
          </w:tcPr>
          <w:p w14:paraId="7B9085A0">
            <w:pPr>
              <w:keepNext w:val="0"/>
              <w:keepLines w:val="0"/>
              <w:pageBreakBefore w:val="0"/>
              <w:widowControl w:val="0"/>
              <w:numPr>
                <w:ilvl w:val="0"/>
                <w:numId w:val="0"/>
              </w:numPr>
              <w:pBdr>
                <w:top w:val="none" w:color="auto" w:sz="0" w:space="0"/>
                <w:bottom w:val="none" w:color="auto" w:sz="0" w:space="0"/>
              </w:pBdr>
              <w:kinsoku/>
              <w:wordWrap/>
              <w:overflowPunct/>
              <w:topLinePunct w:val="0"/>
              <w:autoSpaceDE/>
              <w:autoSpaceDN/>
              <w:bidi w:val="0"/>
              <w:adjustRightInd/>
              <w:snapToGrid/>
              <w:spacing w:after="0" w:line="440" w:lineRule="exact"/>
              <w:ind w:firstLine="0" w:firstLineChars="0"/>
              <w:jc w:val="both"/>
              <w:textAlignment w:val="auto"/>
              <w:rPr>
                <w:rFonts w:hint="eastAsia" w:ascii="宋体" w:hAnsi="宋体" w:eastAsia="仿宋_GB2312" w:cs="仿宋_GB2312"/>
                <w:color w:val="auto"/>
                <w:sz w:val="24"/>
                <w:szCs w:val="24"/>
                <w:lang w:val="en-US" w:eastAsia="en-US"/>
              </w:rPr>
            </w:pPr>
            <w:r>
              <w:rPr>
                <w:rFonts w:hint="eastAsia" w:ascii="宋体" w:hAnsi="宋体" w:eastAsia="仿宋_GB2312" w:cs="仿宋_GB2312"/>
                <w:color w:val="auto"/>
                <w:sz w:val="24"/>
                <w:szCs w:val="24"/>
                <w:lang w:val="en-US" w:eastAsia="zh-CN"/>
              </w:rPr>
              <w:t>1.</w:t>
            </w:r>
            <w:r>
              <w:rPr>
                <w:rFonts w:hint="eastAsia" w:ascii="宋体" w:hAnsi="宋体" w:eastAsia="仿宋_GB2312" w:cs="仿宋_GB2312"/>
                <w:color w:val="auto"/>
                <w:sz w:val="24"/>
                <w:szCs w:val="24"/>
                <w:lang w:val="en-US" w:eastAsia="en-US"/>
              </w:rPr>
              <w:t>投保人及其家庭成员、被保险人及其家庭成员、投保人或被保险人雇用人员的故意行为，因管理不善导致被盗、走失、饿死、互斗、淹溺</w:t>
            </w:r>
            <w:r>
              <w:rPr>
                <w:rFonts w:hint="eastAsia" w:ascii="宋体" w:hAnsi="宋体" w:eastAsia="仿宋_GB2312" w:cs="仿宋_GB2312"/>
                <w:color w:val="auto"/>
                <w:sz w:val="24"/>
                <w:szCs w:val="24"/>
                <w:lang w:val="en-US" w:eastAsia="zh-CN"/>
              </w:rPr>
              <w:t>、中暑、中毒</w:t>
            </w:r>
            <w:r>
              <w:rPr>
                <w:rFonts w:hint="eastAsia" w:ascii="宋体" w:hAnsi="宋体" w:eastAsia="仿宋_GB2312" w:cs="仿宋_GB2312"/>
                <w:color w:val="auto"/>
                <w:sz w:val="24"/>
                <w:szCs w:val="24"/>
                <w:lang w:val="en-US" w:eastAsia="en-US"/>
              </w:rPr>
              <w:t>。</w:t>
            </w:r>
            <w:r>
              <w:rPr>
                <w:rFonts w:hint="eastAsia" w:ascii="宋体" w:hAnsi="宋体" w:eastAsia="仿宋_GB2312" w:cs="仿宋_GB2312"/>
                <w:color w:val="auto"/>
                <w:sz w:val="24"/>
                <w:szCs w:val="24"/>
                <w:lang w:val="en-US" w:eastAsia="en-US"/>
              </w:rPr>
              <w:br w:type="textWrapping"/>
            </w:r>
            <w:r>
              <w:rPr>
                <w:rFonts w:hint="eastAsia" w:ascii="宋体" w:hAnsi="宋体" w:eastAsia="仿宋_GB2312" w:cs="仿宋_GB2312"/>
                <w:color w:val="auto"/>
                <w:sz w:val="24"/>
                <w:szCs w:val="24"/>
                <w:lang w:val="en-US" w:eastAsia="en-US"/>
              </w:rPr>
              <w:t>2.保险肉牛在疾病观察期内患有保险责任范围内的疾病及在运输途中的死亡。</w:t>
            </w:r>
            <w:r>
              <w:rPr>
                <w:rFonts w:hint="eastAsia" w:ascii="宋体" w:hAnsi="宋体" w:eastAsia="仿宋_GB2312" w:cs="仿宋_GB2312"/>
                <w:color w:val="auto"/>
                <w:sz w:val="24"/>
                <w:szCs w:val="24"/>
                <w:lang w:val="en-US" w:eastAsia="en-US"/>
              </w:rPr>
              <w:br w:type="textWrapping"/>
            </w:r>
            <w:r>
              <w:rPr>
                <w:rFonts w:hint="eastAsia" w:ascii="宋体" w:hAnsi="宋体" w:eastAsia="仿宋_GB2312" w:cs="仿宋_GB2312"/>
                <w:color w:val="auto"/>
                <w:sz w:val="24"/>
                <w:szCs w:val="24"/>
                <w:lang w:val="en-US" w:eastAsia="en-US"/>
              </w:rPr>
              <w:t>3.保险肉牛未按免疫程序接种或违反防疫规定接种、发病后不及时治疗所导致的肉牛死亡、未按照国家有关规定进行无害化处理。</w:t>
            </w:r>
            <w:r>
              <w:rPr>
                <w:rFonts w:hint="eastAsia" w:ascii="宋体" w:hAnsi="宋体" w:eastAsia="仿宋_GB2312" w:cs="仿宋_GB2312"/>
                <w:color w:val="auto"/>
                <w:sz w:val="24"/>
                <w:szCs w:val="24"/>
                <w:lang w:val="en-US" w:eastAsia="en-US"/>
              </w:rPr>
              <w:br w:type="textWrapping"/>
            </w:r>
            <w:r>
              <w:rPr>
                <w:rFonts w:hint="eastAsia" w:ascii="宋体" w:hAnsi="宋体" w:eastAsia="仿宋_GB2312" w:cs="仿宋_GB2312"/>
                <w:color w:val="auto"/>
                <w:sz w:val="24"/>
                <w:szCs w:val="24"/>
                <w:lang w:val="en-US" w:eastAsia="en-US"/>
              </w:rPr>
              <w:t>4.发生保险责任范围内损失后，投保人、被保险人自行处理保险肉牛或无专业技术部门确诊死亡的。</w:t>
            </w:r>
            <w:r>
              <w:rPr>
                <w:rFonts w:hint="eastAsia" w:ascii="宋体" w:hAnsi="宋体" w:eastAsia="仿宋_GB2312" w:cs="仿宋_GB2312"/>
                <w:color w:val="auto"/>
                <w:sz w:val="24"/>
                <w:szCs w:val="24"/>
                <w:lang w:val="en-US" w:eastAsia="en-US"/>
              </w:rPr>
              <w:br w:type="textWrapping"/>
            </w:r>
            <w:r>
              <w:rPr>
                <w:rFonts w:hint="eastAsia" w:ascii="宋体" w:hAnsi="宋体" w:eastAsia="仿宋_GB2312" w:cs="仿宋_GB2312"/>
                <w:color w:val="auto"/>
                <w:sz w:val="24"/>
                <w:szCs w:val="24"/>
                <w:lang w:val="en-US" w:eastAsia="en-US"/>
              </w:rPr>
              <w:t>5.发生重大病害或疫病后不采取有效防治措施，致使损失扩大的。</w:t>
            </w:r>
            <w:r>
              <w:rPr>
                <w:rFonts w:hint="eastAsia" w:ascii="宋体" w:hAnsi="宋体" w:eastAsia="仿宋_GB2312" w:cs="仿宋_GB2312"/>
                <w:color w:val="auto"/>
                <w:sz w:val="24"/>
                <w:szCs w:val="24"/>
                <w:lang w:val="en-US" w:eastAsia="en-US"/>
              </w:rPr>
              <w:br w:type="textWrapping"/>
            </w:r>
            <w:r>
              <w:rPr>
                <w:rFonts w:hint="eastAsia" w:ascii="宋体" w:hAnsi="宋体" w:eastAsia="仿宋_GB2312" w:cs="仿宋_GB2312"/>
                <w:color w:val="auto"/>
                <w:sz w:val="24"/>
                <w:szCs w:val="24"/>
                <w:lang w:val="en-US" w:eastAsia="en-US"/>
              </w:rPr>
              <w:t>6.保险单中载明的免赔额和其他不属于保险合同责任范围内的损失、费用，保险人也不负责赔偿。</w:t>
            </w:r>
          </w:p>
          <w:p w14:paraId="1BE4A0D5">
            <w:pPr>
              <w:keepNext w:val="0"/>
              <w:keepLines w:val="0"/>
              <w:pageBreakBefore w:val="0"/>
              <w:widowControl w:val="0"/>
              <w:numPr>
                <w:ilvl w:val="0"/>
                <w:numId w:val="0"/>
              </w:numPr>
              <w:pBdr>
                <w:top w:val="none" w:color="auto" w:sz="0" w:space="0"/>
                <w:bottom w:val="none" w:color="auto" w:sz="0" w:space="0"/>
              </w:pBdr>
              <w:kinsoku/>
              <w:wordWrap/>
              <w:overflowPunct/>
              <w:topLinePunct w:val="0"/>
              <w:autoSpaceDE/>
              <w:autoSpaceDN/>
              <w:bidi w:val="0"/>
              <w:adjustRightInd/>
              <w:snapToGrid/>
              <w:spacing w:after="0" w:line="440" w:lineRule="exact"/>
              <w:ind w:firstLine="0" w:firstLineChars="0"/>
              <w:jc w:val="both"/>
              <w:textAlignment w:val="auto"/>
              <w:rPr>
                <w:rFonts w:hint="default" w:ascii="宋体" w:hAnsi="宋体" w:eastAsia="仿宋_GB2312" w:cs="仿宋_GB2312"/>
                <w:color w:val="auto"/>
                <w:sz w:val="24"/>
                <w:szCs w:val="24"/>
                <w:lang w:val="en-US" w:eastAsia="zh-CN"/>
              </w:rPr>
            </w:pPr>
            <w:r>
              <w:rPr>
                <w:rFonts w:hint="eastAsia" w:ascii="宋体" w:hAnsi="宋体" w:eastAsia="仿宋_GB2312" w:cs="仿宋_GB2312"/>
                <w:color w:val="auto"/>
                <w:sz w:val="24"/>
                <w:szCs w:val="24"/>
                <w:lang w:val="en-US" w:eastAsia="zh-CN"/>
              </w:rPr>
              <w:t>7.因病死亡不能确定无害化处理的，保险人也不负责赔偿。</w:t>
            </w:r>
          </w:p>
        </w:tc>
      </w:tr>
    </w:tbl>
    <w:p w14:paraId="2488210D">
      <w:pPr>
        <w:pStyle w:val="2"/>
        <w:keepNext w:val="0"/>
        <w:keepLines w:val="0"/>
        <w:pageBreakBefore w:val="0"/>
        <w:widowControl w:val="0"/>
        <w:numPr>
          <w:ilvl w:val="0"/>
          <w:numId w:val="0"/>
        </w:numPr>
        <w:pBdr>
          <w:top w:val="none" w:color="auto" w:sz="0" w:space="0"/>
          <w:bottom w:val="none" w:color="auto" w:sz="0" w:space="0"/>
        </w:pBdr>
        <w:kinsoku/>
        <w:wordWrap/>
        <w:overflowPunct/>
        <w:topLinePunct w:val="0"/>
        <w:bidi w:val="0"/>
        <w:adjustRightInd/>
        <w:snapToGrid/>
        <w:spacing w:after="0" w:line="616" w:lineRule="exact"/>
        <w:ind w:right="0" w:firstLine="600" w:firstLineChars="200"/>
        <w:textAlignment w:val="auto"/>
        <w:rPr>
          <w:rFonts w:hint="eastAsia" w:ascii="宋体" w:hAnsi="宋体" w:eastAsia="黑体" w:cs="黑体"/>
          <w:color w:val="auto"/>
          <w:kern w:val="0"/>
          <w:sz w:val="30"/>
          <w:szCs w:val="30"/>
          <w:lang w:val="en-US" w:eastAsia="zh-CN" w:bidi="ar-SA"/>
        </w:rPr>
      </w:pPr>
      <w:r>
        <w:rPr>
          <w:rFonts w:hint="eastAsia" w:ascii="宋体" w:hAnsi="宋体" w:eastAsia="黑体" w:cs="黑体"/>
          <w:color w:val="auto"/>
          <w:kern w:val="0"/>
          <w:sz w:val="30"/>
          <w:szCs w:val="30"/>
          <w:lang w:val="en-US" w:eastAsia="zh-CN" w:bidi="ar-SA"/>
        </w:rPr>
        <w:t>四、保险金额与费率</w:t>
      </w:r>
    </w:p>
    <w:p w14:paraId="3506C7A2">
      <w:pPr>
        <w:keepNext w:val="0"/>
        <w:keepLines w:val="0"/>
        <w:pageBreakBefore w:val="0"/>
        <w:widowControl w:val="0"/>
        <w:pBdr>
          <w:top w:val="none" w:color="auto" w:sz="0" w:space="0"/>
          <w:bottom w:val="none" w:color="auto" w:sz="0" w:space="0"/>
        </w:pBdr>
        <w:kinsoku/>
        <w:wordWrap/>
        <w:overflowPunct/>
        <w:topLinePunct w:val="0"/>
        <w:autoSpaceDE w:val="0"/>
        <w:autoSpaceDN w:val="0"/>
        <w:bidi w:val="0"/>
        <w:adjustRightInd/>
        <w:snapToGrid/>
        <w:spacing w:before="0" w:after="0" w:line="616" w:lineRule="exact"/>
        <w:ind w:left="0" w:right="0" w:firstLine="600" w:firstLineChars="200"/>
        <w:jc w:val="both"/>
        <w:textAlignment w:val="auto"/>
        <w:rPr>
          <w:rFonts w:hint="eastAsia" w:ascii="宋体" w:hAnsi="宋体" w:eastAsia="仿宋_GB2312" w:cs="仿宋_GB2312"/>
          <w:color w:val="auto"/>
          <w:spacing w:val="0"/>
          <w:kern w:val="0"/>
          <w:sz w:val="30"/>
          <w:szCs w:val="30"/>
          <w:highlight w:val="none"/>
          <w:lang w:val="en-US" w:eastAsia="zh-CN"/>
        </w:rPr>
      </w:pPr>
      <w:r>
        <w:rPr>
          <w:rFonts w:hint="eastAsia" w:ascii="宋体" w:hAnsi="宋体" w:eastAsia="仿宋_GB2312" w:cs="仿宋_GB2312"/>
          <w:color w:val="auto"/>
          <w:spacing w:val="0"/>
          <w:kern w:val="0"/>
          <w:sz w:val="30"/>
          <w:szCs w:val="30"/>
          <w:highlight w:val="none"/>
          <w:lang w:val="en-US" w:eastAsia="zh-CN"/>
        </w:rPr>
        <w:t>保险金额：10000元/头</w:t>
      </w:r>
    </w:p>
    <w:p w14:paraId="1A04A89A">
      <w:pPr>
        <w:keepNext w:val="0"/>
        <w:keepLines w:val="0"/>
        <w:pageBreakBefore w:val="0"/>
        <w:widowControl w:val="0"/>
        <w:pBdr>
          <w:top w:val="none" w:color="auto" w:sz="0" w:space="0"/>
          <w:bottom w:val="none" w:color="auto" w:sz="0" w:space="0"/>
        </w:pBdr>
        <w:kinsoku/>
        <w:wordWrap/>
        <w:overflowPunct/>
        <w:topLinePunct w:val="0"/>
        <w:autoSpaceDE w:val="0"/>
        <w:autoSpaceDN w:val="0"/>
        <w:bidi w:val="0"/>
        <w:adjustRightInd/>
        <w:snapToGrid/>
        <w:spacing w:before="0" w:after="0" w:line="616" w:lineRule="exact"/>
        <w:ind w:left="0" w:right="0" w:firstLine="600" w:firstLineChars="200"/>
        <w:jc w:val="both"/>
        <w:textAlignment w:val="auto"/>
        <w:rPr>
          <w:rFonts w:hint="eastAsia" w:ascii="宋体" w:hAnsi="宋体" w:eastAsia="仿宋_GB2312" w:cs="仿宋_GB2312"/>
          <w:color w:val="auto"/>
          <w:spacing w:val="0"/>
          <w:kern w:val="0"/>
          <w:sz w:val="30"/>
          <w:szCs w:val="30"/>
          <w:highlight w:val="none"/>
          <w:lang w:val="en-US" w:eastAsia="zh-CN"/>
        </w:rPr>
      </w:pPr>
      <w:r>
        <w:rPr>
          <w:rFonts w:hint="eastAsia" w:ascii="宋体" w:hAnsi="宋体" w:eastAsia="仿宋_GB2312" w:cs="仿宋_GB2312"/>
          <w:color w:val="auto"/>
          <w:spacing w:val="0"/>
          <w:kern w:val="0"/>
          <w:sz w:val="30"/>
          <w:szCs w:val="30"/>
          <w:highlight w:val="none"/>
          <w:lang w:val="en-US" w:eastAsia="zh-CN"/>
        </w:rPr>
        <w:t>保险费率：3%</w:t>
      </w:r>
    </w:p>
    <w:p w14:paraId="2E4C4F94">
      <w:pPr>
        <w:pStyle w:val="2"/>
        <w:keepNext w:val="0"/>
        <w:keepLines w:val="0"/>
        <w:pageBreakBefore w:val="0"/>
        <w:widowControl w:val="0"/>
        <w:pBdr>
          <w:top w:val="none" w:color="auto" w:sz="0" w:space="0"/>
          <w:bottom w:val="none" w:color="auto" w:sz="0" w:space="0"/>
        </w:pBdr>
        <w:kinsoku/>
        <w:wordWrap/>
        <w:overflowPunct/>
        <w:topLinePunct w:val="0"/>
        <w:bidi w:val="0"/>
        <w:adjustRightInd/>
        <w:snapToGrid/>
        <w:spacing w:after="0" w:line="616" w:lineRule="exact"/>
        <w:ind w:right="0" w:firstLine="600" w:firstLineChars="200"/>
        <w:jc w:val="both"/>
        <w:textAlignment w:val="auto"/>
        <w:rPr>
          <w:rFonts w:hint="default" w:ascii="宋体" w:hAnsi="宋体"/>
          <w:color w:val="auto"/>
          <w:sz w:val="30"/>
          <w:szCs w:val="30"/>
          <w:lang w:val="en-US" w:eastAsia="zh-CN"/>
        </w:rPr>
      </w:pPr>
      <w:r>
        <w:rPr>
          <w:rFonts w:hint="eastAsia" w:ascii="宋体" w:hAnsi="宋体" w:eastAsia="仿宋_GB2312" w:cs="仿宋_GB2312"/>
          <w:color w:val="auto"/>
          <w:spacing w:val="0"/>
          <w:kern w:val="0"/>
          <w:sz w:val="30"/>
          <w:szCs w:val="30"/>
          <w:highlight w:val="none"/>
          <w:lang w:val="en-US" w:eastAsia="zh-CN" w:bidi="ar-SA"/>
        </w:rPr>
        <w:t>单位保费：300元/头</w:t>
      </w:r>
    </w:p>
    <w:p w14:paraId="04BBE0A5">
      <w:pPr>
        <w:pStyle w:val="2"/>
        <w:keepNext w:val="0"/>
        <w:keepLines w:val="0"/>
        <w:pageBreakBefore w:val="0"/>
        <w:widowControl w:val="0"/>
        <w:numPr>
          <w:ilvl w:val="0"/>
          <w:numId w:val="0"/>
        </w:numPr>
        <w:pBdr>
          <w:top w:val="none" w:color="auto" w:sz="0" w:space="0"/>
          <w:bottom w:val="none" w:color="auto" w:sz="0" w:space="0"/>
        </w:pBdr>
        <w:kinsoku/>
        <w:wordWrap/>
        <w:overflowPunct/>
        <w:topLinePunct w:val="0"/>
        <w:bidi w:val="0"/>
        <w:adjustRightInd/>
        <w:snapToGrid/>
        <w:spacing w:after="0" w:line="616" w:lineRule="exact"/>
        <w:ind w:right="0" w:firstLine="600" w:firstLineChars="200"/>
        <w:jc w:val="both"/>
        <w:textAlignment w:val="auto"/>
        <w:rPr>
          <w:rFonts w:hint="eastAsia" w:ascii="宋体" w:hAnsi="宋体" w:eastAsia="黑体" w:cs="黑体"/>
          <w:color w:val="auto"/>
          <w:kern w:val="0"/>
          <w:sz w:val="30"/>
          <w:szCs w:val="30"/>
          <w:lang w:val="en-US" w:eastAsia="zh-CN" w:bidi="ar-SA"/>
        </w:rPr>
      </w:pPr>
      <w:r>
        <w:rPr>
          <w:rFonts w:hint="eastAsia" w:ascii="宋体" w:hAnsi="宋体" w:eastAsia="黑体" w:cs="黑体"/>
          <w:color w:val="auto"/>
          <w:kern w:val="0"/>
          <w:sz w:val="30"/>
          <w:szCs w:val="30"/>
          <w:lang w:val="en-US" w:eastAsia="zh-CN" w:bidi="ar-SA"/>
        </w:rPr>
        <w:t>五、保险期限</w:t>
      </w:r>
    </w:p>
    <w:p w14:paraId="50B4FD0A">
      <w:pPr>
        <w:pStyle w:val="2"/>
        <w:keepNext w:val="0"/>
        <w:keepLines w:val="0"/>
        <w:pageBreakBefore w:val="0"/>
        <w:widowControl w:val="0"/>
        <w:numPr>
          <w:ilvl w:val="0"/>
          <w:numId w:val="0"/>
        </w:numPr>
        <w:pBdr>
          <w:top w:val="none" w:color="auto" w:sz="0" w:space="0"/>
          <w:bottom w:val="none" w:color="auto" w:sz="0" w:space="0"/>
        </w:pBdr>
        <w:kinsoku/>
        <w:wordWrap/>
        <w:overflowPunct/>
        <w:topLinePunct w:val="0"/>
        <w:bidi w:val="0"/>
        <w:adjustRightInd/>
        <w:snapToGrid/>
        <w:spacing w:after="0" w:line="616" w:lineRule="exact"/>
        <w:ind w:right="0" w:firstLine="600" w:firstLineChars="200"/>
        <w:jc w:val="both"/>
        <w:textAlignment w:val="auto"/>
        <w:rPr>
          <w:rFonts w:hint="eastAsia" w:ascii="宋体" w:hAnsi="宋体" w:cs="仿宋_GB2312"/>
          <w:color w:val="auto"/>
          <w:sz w:val="30"/>
          <w:szCs w:val="30"/>
          <w:highlight w:val="none"/>
          <w:lang w:val="en-US" w:eastAsia="zh-CN"/>
        </w:rPr>
      </w:pPr>
      <w:r>
        <w:rPr>
          <w:rFonts w:hint="eastAsia" w:ascii="宋体" w:hAnsi="宋体" w:eastAsia="仿宋_GB2312" w:cs="仿宋_GB2312"/>
          <w:color w:val="auto"/>
          <w:spacing w:val="0"/>
          <w:kern w:val="0"/>
          <w:sz w:val="30"/>
          <w:szCs w:val="30"/>
          <w:highlight w:val="none"/>
          <w:lang w:eastAsia="zh-CN"/>
        </w:rPr>
        <w:t>肉牛</w:t>
      </w:r>
      <w:r>
        <w:rPr>
          <w:rFonts w:hint="eastAsia" w:ascii="宋体" w:hAnsi="宋体" w:cs="仿宋_GB2312"/>
          <w:color w:val="auto"/>
          <w:spacing w:val="0"/>
          <w:kern w:val="0"/>
          <w:sz w:val="30"/>
          <w:szCs w:val="30"/>
          <w:highlight w:val="none"/>
          <w:lang w:eastAsia="zh-CN"/>
        </w:rPr>
        <w:t>养殖保险期限自双方约定的保险责任开始之日起至肉牛出栏之日止，但最长不超过一年。</w:t>
      </w:r>
    </w:p>
    <w:p w14:paraId="1E7E3FF7">
      <w:pPr>
        <w:pStyle w:val="2"/>
        <w:keepNext w:val="0"/>
        <w:keepLines w:val="0"/>
        <w:pageBreakBefore w:val="0"/>
        <w:widowControl w:val="0"/>
        <w:numPr>
          <w:ilvl w:val="0"/>
          <w:numId w:val="0"/>
        </w:numPr>
        <w:pBdr>
          <w:top w:val="none" w:color="auto" w:sz="0" w:space="0"/>
          <w:bottom w:val="none" w:color="auto" w:sz="0" w:space="0"/>
        </w:pBdr>
        <w:kinsoku/>
        <w:wordWrap/>
        <w:overflowPunct/>
        <w:topLinePunct w:val="0"/>
        <w:bidi w:val="0"/>
        <w:adjustRightInd/>
        <w:snapToGrid/>
        <w:spacing w:after="0" w:line="616" w:lineRule="exact"/>
        <w:ind w:right="0" w:firstLine="600" w:firstLineChars="200"/>
        <w:jc w:val="both"/>
        <w:textAlignment w:val="auto"/>
        <w:rPr>
          <w:rFonts w:hint="eastAsia" w:ascii="宋体" w:hAnsi="宋体" w:eastAsia="黑体" w:cs="黑体"/>
          <w:color w:val="auto"/>
          <w:kern w:val="0"/>
          <w:sz w:val="30"/>
          <w:szCs w:val="30"/>
          <w:lang w:val="en-US" w:eastAsia="en-US" w:bidi="ar-SA"/>
        </w:rPr>
      </w:pPr>
      <w:r>
        <w:rPr>
          <w:rFonts w:hint="eastAsia" w:ascii="宋体" w:hAnsi="宋体" w:eastAsia="黑体" w:cs="黑体"/>
          <w:color w:val="auto"/>
          <w:kern w:val="0"/>
          <w:sz w:val="30"/>
          <w:szCs w:val="30"/>
          <w:lang w:val="en-US" w:eastAsia="zh-CN" w:bidi="ar-SA"/>
        </w:rPr>
        <w:t>六、赔偿处理</w:t>
      </w:r>
    </w:p>
    <w:p w14:paraId="1EE5BAD3">
      <w:pPr>
        <w:keepNext w:val="0"/>
        <w:keepLines w:val="0"/>
        <w:pageBreakBefore w:val="0"/>
        <w:widowControl w:val="0"/>
        <w:pBdr>
          <w:top w:val="none" w:color="auto" w:sz="0" w:space="0"/>
          <w:bottom w:val="none" w:color="auto" w:sz="0" w:space="0"/>
        </w:pBdr>
        <w:kinsoku/>
        <w:wordWrap/>
        <w:overflowPunct w:val="0"/>
        <w:topLinePunct w:val="0"/>
        <w:autoSpaceDE w:val="0"/>
        <w:autoSpaceDN w:val="0"/>
        <w:bidi w:val="0"/>
        <w:adjustRightInd/>
        <w:snapToGrid/>
        <w:spacing w:before="0" w:after="0" w:line="616" w:lineRule="exact"/>
        <w:ind w:left="0" w:right="0" w:firstLine="600" w:firstLineChars="200"/>
        <w:jc w:val="both"/>
        <w:textAlignment w:val="auto"/>
        <w:rPr>
          <w:rFonts w:hint="eastAsia" w:ascii="宋体" w:hAnsi="宋体" w:eastAsia="仿宋_GB2312" w:cs="仿宋_GB2312"/>
          <w:color w:val="auto"/>
          <w:spacing w:val="0"/>
          <w:kern w:val="0"/>
          <w:sz w:val="30"/>
          <w:szCs w:val="30"/>
          <w:highlight w:val="none"/>
          <w:lang w:eastAsia="zh-CN"/>
        </w:rPr>
      </w:pPr>
      <w:r>
        <w:rPr>
          <w:rFonts w:hint="eastAsia" w:ascii="宋体" w:hAnsi="宋体" w:eastAsia="仿宋_GB2312" w:cs="仿宋_GB2312"/>
          <w:color w:val="auto"/>
          <w:spacing w:val="0"/>
          <w:kern w:val="0"/>
          <w:sz w:val="30"/>
          <w:szCs w:val="30"/>
          <w:highlight w:val="none"/>
          <w:lang w:eastAsia="zh-CN"/>
        </w:rPr>
        <w:t>保险肉牛发生保险责任范围内的死亡，赔偿比例按照死亡肉牛畜龄和尸重对应比例孰高者确定。</w:t>
      </w:r>
    </w:p>
    <w:p w14:paraId="42689296">
      <w:pPr>
        <w:keepNext w:val="0"/>
        <w:keepLines w:val="0"/>
        <w:pageBreakBefore w:val="0"/>
        <w:widowControl w:val="0"/>
        <w:pBdr>
          <w:top w:val="none" w:color="auto" w:sz="0" w:space="0"/>
          <w:bottom w:val="none" w:color="auto" w:sz="0" w:space="0"/>
        </w:pBdr>
        <w:kinsoku/>
        <w:wordWrap/>
        <w:overflowPunct w:val="0"/>
        <w:topLinePunct w:val="0"/>
        <w:autoSpaceDE w:val="0"/>
        <w:autoSpaceDN w:val="0"/>
        <w:bidi w:val="0"/>
        <w:adjustRightInd/>
        <w:snapToGrid/>
        <w:spacing w:before="0" w:after="65" w:afterLines="20" w:line="616" w:lineRule="exact"/>
        <w:ind w:left="0" w:right="0" w:firstLine="600" w:firstLineChars="200"/>
        <w:jc w:val="both"/>
        <w:textAlignment w:val="auto"/>
        <w:rPr>
          <w:rFonts w:hint="eastAsia" w:ascii="宋体" w:hAnsi="宋体" w:eastAsia="仿宋_GB2312" w:cs="仿宋_GB2312"/>
          <w:color w:val="auto"/>
          <w:spacing w:val="0"/>
          <w:kern w:val="0"/>
          <w:sz w:val="30"/>
          <w:szCs w:val="30"/>
          <w:highlight w:val="none"/>
          <w:lang w:eastAsia="zh-CN"/>
        </w:rPr>
      </w:pPr>
      <w:r>
        <w:rPr>
          <w:rFonts w:hint="eastAsia" w:ascii="宋体" w:hAnsi="宋体" w:eastAsia="仿宋_GB2312" w:cs="仿宋_GB2312"/>
          <w:color w:val="auto"/>
          <w:spacing w:val="0"/>
          <w:kern w:val="0"/>
          <w:sz w:val="30"/>
          <w:szCs w:val="30"/>
          <w:highlight w:val="none"/>
          <w:lang w:eastAsia="zh-CN"/>
        </w:rPr>
        <w:t>（一）赔偿金额=∑保险肉牛每头赔偿金额。每头赔偿金额=保险肉牛每头保险金额×保险事故发生时保险肉牛对应畜龄或尸重赔偿比例。</w:t>
      </w:r>
    </w:p>
    <w:tbl>
      <w:tblPr>
        <w:tblStyle w:val="3"/>
        <w:tblW w:w="5242" w:type="pct"/>
        <w:tblInd w:w="-2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3436"/>
        <w:gridCol w:w="3360"/>
        <w:gridCol w:w="1943"/>
      </w:tblGrid>
      <w:tr w14:paraId="773B2F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0" w:hRule="atLeast"/>
        </w:trPr>
        <w:tc>
          <w:tcPr>
            <w:tcW w:w="3663" w:type="dxa"/>
            <w:noWrap w:val="0"/>
            <w:vAlign w:val="center"/>
          </w:tcPr>
          <w:p w14:paraId="7289662A">
            <w:pPr>
              <w:keepNext w:val="0"/>
              <w:keepLines w:val="0"/>
              <w:pageBreakBefore w:val="0"/>
              <w:widowControl w:val="0"/>
              <w:numPr>
                <w:ilvl w:val="0"/>
                <w:numId w:val="0"/>
              </w:numPr>
              <w:pBdr>
                <w:top w:val="none" w:color="auto" w:sz="0" w:space="0"/>
                <w:bottom w:val="none" w:color="auto" w:sz="0" w:space="0"/>
              </w:pBdr>
              <w:kinsoku/>
              <w:wordWrap/>
              <w:overflowPunct/>
              <w:topLinePunct w:val="0"/>
              <w:autoSpaceDE/>
              <w:autoSpaceDN/>
              <w:bidi w:val="0"/>
              <w:adjustRightInd/>
              <w:snapToGrid/>
              <w:spacing w:after="0" w:line="500" w:lineRule="exact"/>
              <w:ind w:firstLine="0" w:firstLineChars="0"/>
              <w:jc w:val="center"/>
              <w:textAlignment w:val="auto"/>
              <w:rPr>
                <w:rFonts w:hint="eastAsia" w:ascii="宋体" w:hAnsi="宋体" w:eastAsia="黑体" w:cs="黑体"/>
                <w:color w:val="auto"/>
                <w:sz w:val="24"/>
                <w:szCs w:val="24"/>
                <w:lang w:val="en-US" w:eastAsia="en-US"/>
              </w:rPr>
            </w:pPr>
            <w:r>
              <w:rPr>
                <w:rFonts w:hint="eastAsia" w:ascii="宋体" w:hAnsi="宋体" w:eastAsia="黑体" w:cs="黑体"/>
                <w:color w:val="auto"/>
                <w:sz w:val="24"/>
                <w:szCs w:val="24"/>
                <w:lang w:val="en-US" w:eastAsia="zh-CN"/>
              </w:rPr>
              <w:t>畜</w:t>
            </w:r>
            <w:r>
              <w:rPr>
                <w:rFonts w:hint="eastAsia" w:ascii="宋体" w:hAnsi="宋体" w:eastAsia="黑体" w:cs="黑体"/>
                <w:color w:val="auto"/>
                <w:sz w:val="24"/>
                <w:szCs w:val="24"/>
                <w:lang w:val="en-US" w:eastAsia="en-US"/>
              </w:rPr>
              <w:t>龄范围</w:t>
            </w:r>
          </w:p>
        </w:tc>
        <w:tc>
          <w:tcPr>
            <w:tcW w:w="3579" w:type="dxa"/>
            <w:noWrap w:val="0"/>
            <w:vAlign w:val="center"/>
          </w:tcPr>
          <w:p w14:paraId="26661DA5">
            <w:pPr>
              <w:keepNext w:val="0"/>
              <w:keepLines w:val="0"/>
              <w:pageBreakBefore w:val="0"/>
              <w:widowControl w:val="0"/>
              <w:numPr>
                <w:ilvl w:val="0"/>
                <w:numId w:val="0"/>
              </w:numPr>
              <w:pBdr>
                <w:top w:val="none" w:color="auto" w:sz="0" w:space="0"/>
                <w:bottom w:val="none" w:color="auto" w:sz="0" w:space="0"/>
              </w:pBdr>
              <w:kinsoku/>
              <w:wordWrap/>
              <w:overflowPunct/>
              <w:topLinePunct w:val="0"/>
              <w:autoSpaceDE/>
              <w:autoSpaceDN/>
              <w:bidi w:val="0"/>
              <w:adjustRightInd/>
              <w:snapToGrid/>
              <w:spacing w:after="0" w:line="500" w:lineRule="exact"/>
              <w:ind w:firstLine="0" w:firstLineChars="0"/>
              <w:jc w:val="center"/>
              <w:textAlignment w:val="auto"/>
              <w:rPr>
                <w:rFonts w:hint="eastAsia" w:ascii="宋体" w:hAnsi="宋体" w:eastAsia="黑体" w:cs="黑体"/>
                <w:color w:val="auto"/>
                <w:sz w:val="24"/>
                <w:szCs w:val="24"/>
                <w:lang w:val="en-US" w:eastAsia="en-US"/>
              </w:rPr>
            </w:pPr>
            <w:r>
              <w:rPr>
                <w:rFonts w:hint="eastAsia" w:ascii="宋体" w:hAnsi="宋体" w:eastAsia="黑体" w:cs="黑体"/>
                <w:color w:val="auto"/>
                <w:sz w:val="24"/>
                <w:szCs w:val="24"/>
                <w:lang w:val="en-US" w:eastAsia="zh-CN"/>
              </w:rPr>
              <w:t>尸重</w:t>
            </w:r>
            <w:r>
              <w:rPr>
                <w:rFonts w:hint="eastAsia" w:ascii="宋体" w:hAnsi="宋体" w:eastAsia="黑体" w:cs="黑体"/>
                <w:color w:val="auto"/>
                <w:sz w:val="24"/>
                <w:szCs w:val="24"/>
                <w:lang w:val="en-US" w:eastAsia="en-US"/>
              </w:rPr>
              <w:t>范围</w:t>
            </w:r>
          </w:p>
        </w:tc>
        <w:tc>
          <w:tcPr>
            <w:tcW w:w="2063" w:type="dxa"/>
            <w:noWrap w:val="0"/>
            <w:vAlign w:val="center"/>
          </w:tcPr>
          <w:p w14:paraId="53F685F7">
            <w:pPr>
              <w:keepNext w:val="0"/>
              <w:keepLines w:val="0"/>
              <w:pageBreakBefore w:val="0"/>
              <w:widowControl w:val="0"/>
              <w:numPr>
                <w:ilvl w:val="0"/>
                <w:numId w:val="0"/>
              </w:numPr>
              <w:pBdr>
                <w:top w:val="none" w:color="auto" w:sz="0" w:space="0"/>
                <w:bottom w:val="none" w:color="auto" w:sz="0" w:space="0"/>
              </w:pBdr>
              <w:kinsoku/>
              <w:wordWrap/>
              <w:overflowPunct/>
              <w:topLinePunct w:val="0"/>
              <w:autoSpaceDE/>
              <w:autoSpaceDN/>
              <w:bidi w:val="0"/>
              <w:adjustRightInd/>
              <w:snapToGrid/>
              <w:spacing w:after="0" w:line="500" w:lineRule="exact"/>
              <w:ind w:firstLine="0" w:firstLineChars="0"/>
              <w:jc w:val="center"/>
              <w:textAlignment w:val="auto"/>
              <w:rPr>
                <w:rFonts w:hint="eastAsia" w:ascii="宋体" w:hAnsi="宋体" w:eastAsia="黑体" w:cs="黑体"/>
                <w:color w:val="auto"/>
                <w:sz w:val="24"/>
                <w:szCs w:val="24"/>
                <w:lang w:val="en-US" w:eastAsia="en-US"/>
              </w:rPr>
            </w:pPr>
            <w:r>
              <w:rPr>
                <w:rFonts w:hint="eastAsia" w:ascii="宋体" w:hAnsi="宋体" w:eastAsia="黑体" w:cs="黑体"/>
                <w:color w:val="auto"/>
                <w:sz w:val="24"/>
                <w:szCs w:val="24"/>
                <w:lang w:val="en-US" w:eastAsia="en-US"/>
              </w:rPr>
              <w:t>赔偿比例</w:t>
            </w:r>
          </w:p>
        </w:tc>
      </w:tr>
      <w:tr w14:paraId="38B81D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0" w:hRule="atLeast"/>
        </w:trPr>
        <w:tc>
          <w:tcPr>
            <w:tcW w:w="3663" w:type="dxa"/>
            <w:noWrap w:val="0"/>
            <w:vAlign w:val="center"/>
          </w:tcPr>
          <w:p w14:paraId="66696A6D">
            <w:pPr>
              <w:keepNext w:val="0"/>
              <w:keepLines w:val="0"/>
              <w:pageBreakBefore w:val="0"/>
              <w:widowControl w:val="0"/>
              <w:numPr>
                <w:ilvl w:val="0"/>
                <w:numId w:val="0"/>
              </w:numPr>
              <w:pBdr>
                <w:top w:val="none" w:color="auto" w:sz="0" w:space="0"/>
                <w:bottom w:val="none" w:color="auto" w:sz="0" w:space="0"/>
              </w:pBdr>
              <w:kinsoku/>
              <w:wordWrap/>
              <w:overflowPunct/>
              <w:topLinePunct w:val="0"/>
              <w:autoSpaceDE/>
              <w:autoSpaceDN/>
              <w:bidi w:val="0"/>
              <w:adjustRightInd/>
              <w:snapToGrid/>
              <w:spacing w:after="0" w:line="500" w:lineRule="exact"/>
              <w:ind w:firstLine="0" w:firstLineChars="0"/>
              <w:jc w:val="center"/>
              <w:textAlignment w:val="auto"/>
              <w:rPr>
                <w:rFonts w:hint="eastAsia" w:ascii="宋体" w:hAnsi="宋体" w:eastAsia="仿宋_GB2312" w:cs="仿宋_GB2312"/>
                <w:color w:val="auto"/>
                <w:sz w:val="24"/>
                <w:szCs w:val="24"/>
                <w:lang w:val="en-US" w:eastAsia="zh-CN"/>
              </w:rPr>
            </w:pPr>
            <w:r>
              <w:rPr>
                <w:rFonts w:hint="eastAsia" w:ascii="宋体" w:hAnsi="宋体" w:eastAsia="仿宋_GB2312" w:cs="仿宋_GB2312"/>
                <w:color w:val="auto"/>
                <w:sz w:val="24"/>
                <w:szCs w:val="24"/>
                <w:lang w:val="en-US" w:eastAsia="zh-CN"/>
              </w:rPr>
              <w:t>6</w:t>
            </w:r>
            <w:r>
              <w:rPr>
                <w:rFonts w:hint="eastAsia" w:ascii="宋体" w:hAnsi="宋体" w:eastAsia="仿宋_GB2312" w:cs="仿宋_GB2312"/>
                <w:color w:val="auto"/>
                <w:sz w:val="24"/>
                <w:szCs w:val="24"/>
                <w:lang w:val="en-US" w:eastAsia="en-US"/>
              </w:rPr>
              <w:t>个月</w:t>
            </w:r>
            <w:r>
              <w:rPr>
                <w:rFonts w:hint="eastAsia" w:ascii="宋体" w:hAnsi="宋体" w:eastAsia="仿宋_GB2312" w:cs="仿宋_GB2312"/>
                <w:color w:val="auto"/>
                <w:sz w:val="24"/>
                <w:szCs w:val="24"/>
                <w:lang w:val="en-US" w:eastAsia="zh-CN"/>
              </w:rPr>
              <w:t>（</w:t>
            </w:r>
            <w:r>
              <w:rPr>
                <w:rFonts w:hint="eastAsia" w:ascii="宋体" w:hAnsi="宋体" w:eastAsia="仿宋_GB2312" w:cs="仿宋_GB2312"/>
                <w:color w:val="auto"/>
                <w:sz w:val="24"/>
                <w:szCs w:val="24"/>
                <w:lang w:val="en-US" w:eastAsia="en-US"/>
              </w:rPr>
              <w:t>含</w:t>
            </w:r>
            <w:r>
              <w:rPr>
                <w:rFonts w:hint="eastAsia" w:ascii="宋体" w:hAnsi="宋体" w:eastAsia="仿宋_GB2312" w:cs="仿宋_GB2312"/>
                <w:color w:val="auto"/>
                <w:sz w:val="24"/>
                <w:szCs w:val="24"/>
                <w:lang w:val="en-US" w:eastAsia="zh-CN"/>
              </w:rPr>
              <w:t>）— 12</w:t>
            </w:r>
            <w:r>
              <w:rPr>
                <w:rFonts w:hint="eastAsia" w:ascii="宋体" w:hAnsi="宋体" w:eastAsia="仿宋_GB2312" w:cs="仿宋_GB2312"/>
                <w:color w:val="auto"/>
                <w:sz w:val="24"/>
                <w:szCs w:val="24"/>
                <w:lang w:val="en-US" w:eastAsia="en-US"/>
              </w:rPr>
              <w:t>个月</w:t>
            </w:r>
            <w:r>
              <w:rPr>
                <w:rFonts w:hint="eastAsia" w:ascii="宋体" w:hAnsi="宋体" w:eastAsia="仿宋_GB2312" w:cs="仿宋_GB2312"/>
                <w:color w:val="auto"/>
                <w:sz w:val="24"/>
                <w:szCs w:val="24"/>
                <w:lang w:val="en-US" w:eastAsia="zh-CN"/>
              </w:rPr>
              <w:t>（不含）</w:t>
            </w:r>
          </w:p>
        </w:tc>
        <w:tc>
          <w:tcPr>
            <w:tcW w:w="3579" w:type="dxa"/>
            <w:noWrap w:val="0"/>
            <w:vAlign w:val="center"/>
          </w:tcPr>
          <w:p w14:paraId="056107BA">
            <w:pPr>
              <w:keepNext w:val="0"/>
              <w:keepLines w:val="0"/>
              <w:pageBreakBefore w:val="0"/>
              <w:widowControl w:val="0"/>
              <w:numPr>
                <w:ilvl w:val="0"/>
                <w:numId w:val="0"/>
              </w:numPr>
              <w:pBdr>
                <w:top w:val="none" w:color="auto" w:sz="0" w:space="0"/>
                <w:bottom w:val="none" w:color="auto" w:sz="0" w:space="0"/>
              </w:pBdr>
              <w:kinsoku/>
              <w:wordWrap/>
              <w:overflowPunct/>
              <w:topLinePunct w:val="0"/>
              <w:autoSpaceDE/>
              <w:autoSpaceDN/>
              <w:bidi w:val="0"/>
              <w:adjustRightInd/>
              <w:snapToGrid/>
              <w:spacing w:after="0" w:line="500" w:lineRule="exact"/>
              <w:ind w:firstLine="0" w:firstLineChars="0"/>
              <w:jc w:val="center"/>
              <w:textAlignment w:val="auto"/>
              <w:rPr>
                <w:rFonts w:hint="default" w:ascii="宋体" w:hAnsi="宋体" w:eastAsia="仿宋_GB2312" w:cs="仿宋_GB2312"/>
                <w:color w:val="auto"/>
                <w:sz w:val="24"/>
                <w:szCs w:val="24"/>
                <w:lang w:val="en-US" w:eastAsia="zh-CN"/>
              </w:rPr>
            </w:pPr>
            <w:r>
              <w:rPr>
                <w:rFonts w:hint="eastAsia" w:ascii="宋体" w:hAnsi="宋体" w:eastAsia="仿宋_GB2312" w:cs="仿宋_GB2312"/>
                <w:color w:val="auto"/>
                <w:sz w:val="24"/>
                <w:szCs w:val="24"/>
                <w:lang w:val="en-US" w:eastAsia="zh-CN"/>
              </w:rPr>
              <w:t>100KG（含）— 250KG（不含）</w:t>
            </w:r>
          </w:p>
        </w:tc>
        <w:tc>
          <w:tcPr>
            <w:tcW w:w="2063" w:type="dxa"/>
            <w:noWrap w:val="0"/>
            <w:vAlign w:val="center"/>
          </w:tcPr>
          <w:p w14:paraId="3F463120">
            <w:pPr>
              <w:keepNext w:val="0"/>
              <w:keepLines w:val="0"/>
              <w:pageBreakBefore w:val="0"/>
              <w:widowControl w:val="0"/>
              <w:numPr>
                <w:ilvl w:val="0"/>
                <w:numId w:val="0"/>
              </w:numPr>
              <w:pBdr>
                <w:top w:val="none" w:color="auto" w:sz="0" w:space="0"/>
                <w:bottom w:val="none" w:color="auto" w:sz="0" w:space="0"/>
              </w:pBdr>
              <w:kinsoku/>
              <w:wordWrap/>
              <w:overflowPunct/>
              <w:topLinePunct w:val="0"/>
              <w:autoSpaceDE/>
              <w:autoSpaceDN/>
              <w:bidi w:val="0"/>
              <w:adjustRightInd/>
              <w:snapToGrid/>
              <w:spacing w:after="0" w:line="500" w:lineRule="exact"/>
              <w:ind w:firstLine="0" w:firstLineChars="0"/>
              <w:jc w:val="center"/>
              <w:textAlignment w:val="auto"/>
              <w:rPr>
                <w:rFonts w:hint="eastAsia" w:ascii="宋体" w:hAnsi="宋体" w:eastAsia="仿宋_GB2312" w:cs="仿宋_GB2312"/>
                <w:color w:val="auto"/>
                <w:sz w:val="24"/>
                <w:szCs w:val="24"/>
                <w:lang w:val="en-US" w:eastAsia="en-US"/>
              </w:rPr>
            </w:pPr>
            <w:r>
              <w:rPr>
                <w:rFonts w:hint="eastAsia" w:ascii="宋体" w:hAnsi="宋体" w:eastAsia="仿宋_GB2312" w:cs="仿宋_GB2312"/>
                <w:color w:val="auto"/>
                <w:sz w:val="24"/>
                <w:szCs w:val="24"/>
                <w:lang w:val="en-US" w:eastAsia="zh-CN"/>
              </w:rPr>
              <w:t>6</w:t>
            </w:r>
            <w:r>
              <w:rPr>
                <w:rFonts w:hint="eastAsia" w:ascii="宋体" w:hAnsi="宋体" w:eastAsia="仿宋_GB2312" w:cs="仿宋_GB2312"/>
                <w:color w:val="auto"/>
                <w:sz w:val="24"/>
                <w:szCs w:val="24"/>
                <w:lang w:val="en-US" w:eastAsia="en-US"/>
              </w:rPr>
              <w:t>0%</w:t>
            </w:r>
          </w:p>
        </w:tc>
      </w:tr>
      <w:tr w14:paraId="413E8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0" w:hRule="atLeast"/>
        </w:trPr>
        <w:tc>
          <w:tcPr>
            <w:tcW w:w="3663" w:type="dxa"/>
            <w:noWrap w:val="0"/>
            <w:vAlign w:val="center"/>
          </w:tcPr>
          <w:p w14:paraId="3A698849">
            <w:pPr>
              <w:keepNext w:val="0"/>
              <w:keepLines w:val="0"/>
              <w:pageBreakBefore w:val="0"/>
              <w:widowControl w:val="0"/>
              <w:numPr>
                <w:ilvl w:val="0"/>
                <w:numId w:val="0"/>
              </w:numPr>
              <w:pBdr>
                <w:top w:val="none" w:color="auto" w:sz="0" w:space="0"/>
                <w:bottom w:val="none" w:color="auto" w:sz="0" w:space="0"/>
              </w:pBdr>
              <w:kinsoku/>
              <w:wordWrap/>
              <w:overflowPunct/>
              <w:topLinePunct w:val="0"/>
              <w:autoSpaceDE/>
              <w:autoSpaceDN/>
              <w:bidi w:val="0"/>
              <w:adjustRightInd/>
              <w:snapToGrid/>
              <w:spacing w:after="0" w:line="500" w:lineRule="exact"/>
              <w:ind w:firstLine="0" w:firstLineChars="0"/>
              <w:jc w:val="center"/>
              <w:textAlignment w:val="auto"/>
              <w:rPr>
                <w:rFonts w:hint="eastAsia" w:ascii="宋体" w:hAnsi="宋体" w:eastAsia="仿宋_GB2312" w:cs="仿宋_GB2312"/>
                <w:color w:val="auto"/>
                <w:sz w:val="24"/>
                <w:szCs w:val="24"/>
                <w:lang w:val="en-US" w:eastAsia="en-US"/>
              </w:rPr>
            </w:pPr>
            <w:r>
              <w:rPr>
                <w:rFonts w:hint="eastAsia" w:ascii="宋体" w:hAnsi="宋体" w:eastAsia="仿宋_GB2312" w:cs="仿宋_GB2312"/>
                <w:color w:val="auto"/>
                <w:sz w:val="24"/>
                <w:szCs w:val="24"/>
                <w:lang w:val="en-US" w:eastAsia="zh-CN"/>
              </w:rPr>
              <w:t>12</w:t>
            </w:r>
            <w:r>
              <w:rPr>
                <w:rFonts w:hint="eastAsia" w:ascii="宋体" w:hAnsi="宋体" w:eastAsia="仿宋_GB2312" w:cs="仿宋_GB2312"/>
                <w:color w:val="auto"/>
                <w:sz w:val="24"/>
                <w:szCs w:val="24"/>
                <w:lang w:val="en-US" w:eastAsia="en-US"/>
              </w:rPr>
              <w:t>个月</w:t>
            </w:r>
            <w:r>
              <w:rPr>
                <w:rFonts w:hint="eastAsia" w:ascii="宋体" w:hAnsi="宋体" w:eastAsia="仿宋_GB2312" w:cs="仿宋_GB2312"/>
                <w:color w:val="auto"/>
                <w:sz w:val="24"/>
                <w:szCs w:val="24"/>
                <w:lang w:val="en-US" w:eastAsia="zh-CN"/>
              </w:rPr>
              <w:t>（</w:t>
            </w:r>
            <w:r>
              <w:rPr>
                <w:rFonts w:hint="eastAsia" w:ascii="宋体" w:hAnsi="宋体" w:eastAsia="仿宋_GB2312" w:cs="仿宋_GB2312"/>
                <w:color w:val="auto"/>
                <w:sz w:val="24"/>
                <w:szCs w:val="24"/>
                <w:lang w:val="en-US" w:eastAsia="en-US"/>
              </w:rPr>
              <w:t>含</w:t>
            </w:r>
            <w:r>
              <w:rPr>
                <w:rFonts w:hint="eastAsia" w:ascii="宋体" w:hAnsi="宋体" w:eastAsia="仿宋_GB2312" w:cs="仿宋_GB2312"/>
                <w:color w:val="auto"/>
                <w:sz w:val="24"/>
                <w:szCs w:val="24"/>
                <w:lang w:val="en-US" w:eastAsia="zh-CN"/>
              </w:rPr>
              <w:t>）— 18</w:t>
            </w:r>
            <w:r>
              <w:rPr>
                <w:rFonts w:hint="eastAsia" w:ascii="宋体" w:hAnsi="宋体" w:eastAsia="仿宋_GB2312" w:cs="仿宋_GB2312"/>
                <w:color w:val="auto"/>
                <w:sz w:val="24"/>
                <w:szCs w:val="24"/>
                <w:lang w:val="en-US" w:eastAsia="en-US"/>
              </w:rPr>
              <w:t>个月</w:t>
            </w:r>
            <w:r>
              <w:rPr>
                <w:rFonts w:hint="eastAsia" w:ascii="宋体" w:hAnsi="宋体" w:eastAsia="仿宋_GB2312" w:cs="仿宋_GB2312"/>
                <w:color w:val="auto"/>
                <w:sz w:val="24"/>
                <w:szCs w:val="24"/>
                <w:lang w:val="en-US" w:eastAsia="zh-CN"/>
              </w:rPr>
              <w:t>（不含）</w:t>
            </w:r>
          </w:p>
        </w:tc>
        <w:tc>
          <w:tcPr>
            <w:tcW w:w="3579" w:type="dxa"/>
            <w:noWrap w:val="0"/>
            <w:vAlign w:val="center"/>
          </w:tcPr>
          <w:p w14:paraId="68DB6198">
            <w:pPr>
              <w:keepNext w:val="0"/>
              <w:keepLines w:val="0"/>
              <w:pageBreakBefore w:val="0"/>
              <w:widowControl w:val="0"/>
              <w:numPr>
                <w:ilvl w:val="0"/>
                <w:numId w:val="0"/>
              </w:numPr>
              <w:pBdr>
                <w:top w:val="none" w:color="auto" w:sz="0" w:space="0"/>
                <w:bottom w:val="none" w:color="auto" w:sz="0" w:space="0"/>
              </w:pBdr>
              <w:kinsoku/>
              <w:wordWrap/>
              <w:overflowPunct/>
              <w:topLinePunct w:val="0"/>
              <w:autoSpaceDE/>
              <w:autoSpaceDN/>
              <w:bidi w:val="0"/>
              <w:adjustRightInd/>
              <w:snapToGrid/>
              <w:spacing w:after="0" w:line="500" w:lineRule="exact"/>
              <w:ind w:firstLine="0" w:firstLineChars="0"/>
              <w:jc w:val="center"/>
              <w:textAlignment w:val="auto"/>
              <w:rPr>
                <w:rFonts w:hint="eastAsia" w:ascii="宋体" w:hAnsi="宋体" w:eastAsia="仿宋_GB2312" w:cs="仿宋_GB2312"/>
                <w:color w:val="auto"/>
                <w:sz w:val="24"/>
                <w:szCs w:val="24"/>
                <w:lang w:val="en-US" w:eastAsia="en-US"/>
              </w:rPr>
            </w:pPr>
            <w:r>
              <w:rPr>
                <w:rFonts w:hint="eastAsia" w:ascii="宋体" w:hAnsi="宋体" w:eastAsia="仿宋_GB2312" w:cs="仿宋_GB2312"/>
                <w:color w:val="auto"/>
                <w:sz w:val="24"/>
                <w:szCs w:val="24"/>
                <w:lang w:val="en-US" w:eastAsia="zh-CN"/>
              </w:rPr>
              <w:t>250KG（含）— 400KG（不含）</w:t>
            </w:r>
          </w:p>
        </w:tc>
        <w:tc>
          <w:tcPr>
            <w:tcW w:w="2063" w:type="dxa"/>
            <w:noWrap w:val="0"/>
            <w:vAlign w:val="center"/>
          </w:tcPr>
          <w:p w14:paraId="06270888">
            <w:pPr>
              <w:keepNext w:val="0"/>
              <w:keepLines w:val="0"/>
              <w:pageBreakBefore w:val="0"/>
              <w:widowControl w:val="0"/>
              <w:numPr>
                <w:ilvl w:val="0"/>
                <w:numId w:val="0"/>
              </w:numPr>
              <w:pBdr>
                <w:top w:val="none" w:color="auto" w:sz="0" w:space="0"/>
                <w:bottom w:val="none" w:color="auto" w:sz="0" w:space="0"/>
              </w:pBdr>
              <w:kinsoku/>
              <w:wordWrap/>
              <w:overflowPunct/>
              <w:topLinePunct w:val="0"/>
              <w:autoSpaceDE/>
              <w:autoSpaceDN/>
              <w:bidi w:val="0"/>
              <w:adjustRightInd/>
              <w:snapToGrid/>
              <w:spacing w:after="0" w:line="500" w:lineRule="exact"/>
              <w:ind w:firstLine="0" w:firstLineChars="0"/>
              <w:jc w:val="center"/>
              <w:textAlignment w:val="auto"/>
              <w:rPr>
                <w:rFonts w:hint="eastAsia" w:ascii="宋体" w:hAnsi="宋体" w:eastAsia="仿宋_GB2312" w:cs="仿宋_GB2312"/>
                <w:color w:val="auto"/>
                <w:sz w:val="24"/>
                <w:szCs w:val="24"/>
                <w:lang w:val="en-US" w:eastAsia="en-US"/>
              </w:rPr>
            </w:pPr>
            <w:r>
              <w:rPr>
                <w:rFonts w:hint="eastAsia" w:ascii="宋体" w:hAnsi="宋体" w:eastAsia="仿宋_GB2312" w:cs="仿宋_GB2312"/>
                <w:color w:val="auto"/>
                <w:sz w:val="24"/>
                <w:szCs w:val="24"/>
                <w:lang w:val="en-US" w:eastAsia="zh-CN"/>
              </w:rPr>
              <w:t>8</w:t>
            </w:r>
            <w:r>
              <w:rPr>
                <w:rFonts w:hint="eastAsia" w:ascii="宋体" w:hAnsi="宋体" w:eastAsia="仿宋_GB2312" w:cs="仿宋_GB2312"/>
                <w:color w:val="auto"/>
                <w:sz w:val="24"/>
                <w:szCs w:val="24"/>
                <w:lang w:val="en-US" w:eastAsia="en-US"/>
              </w:rPr>
              <w:t>0%</w:t>
            </w:r>
          </w:p>
        </w:tc>
      </w:tr>
      <w:tr w14:paraId="25745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0" w:hRule="atLeast"/>
        </w:trPr>
        <w:tc>
          <w:tcPr>
            <w:tcW w:w="3663" w:type="dxa"/>
            <w:noWrap w:val="0"/>
            <w:vAlign w:val="center"/>
          </w:tcPr>
          <w:p w14:paraId="62509A08">
            <w:pPr>
              <w:keepNext w:val="0"/>
              <w:keepLines w:val="0"/>
              <w:pageBreakBefore w:val="0"/>
              <w:widowControl w:val="0"/>
              <w:numPr>
                <w:ilvl w:val="0"/>
                <w:numId w:val="0"/>
              </w:numPr>
              <w:pBdr>
                <w:top w:val="none" w:color="auto" w:sz="0" w:space="0"/>
                <w:bottom w:val="none" w:color="auto" w:sz="0" w:space="0"/>
              </w:pBdr>
              <w:kinsoku/>
              <w:wordWrap/>
              <w:overflowPunct/>
              <w:topLinePunct w:val="0"/>
              <w:autoSpaceDE/>
              <w:autoSpaceDN/>
              <w:bidi w:val="0"/>
              <w:adjustRightInd/>
              <w:snapToGrid/>
              <w:spacing w:after="0" w:line="500" w:lineRule="exact"/>
              <w:ind w:firstLine="0" w:firstLineChars="0"/>
              <w:jc w:val="center"/>
              <w:textAlignment w:val="auto"/>
              <w:rPr>
                <w:rFonts w:hint="eastAsia" w:ascii="宋体" w:hAnsi="宋体" w:eastAsia="仿宋_GB2312" w:cs="仿宋_GB2312"/>
                <w:color w:val="auto"/>
                <w:sz w:val="24"/>
                <w:szCs w:val="24"/>
                <w:lang w:val="en-US" w:eastAsia="zh-CN"/>
              </w:rPr>
            </w:pPr>
            <w:r>
              <w:rPr>
                <w:rFonts w:hint="eastAsia" w:ascii="宋体" w:hAnsi="宋体" w:eastAsia="仿宋_GB2312" w:cs="仿宋_GB2312"/>
                <w:color w:val="auto"/>
                <w:sz w:val="24"/>
                <w:szCs w:val="24"/>
                <w:lang w:val="en-US" w:eastAsia="zh-CN"/>
              </w:rPr>
              <w:t>18</w:t>
            </w:r>
            <w:r>
              <w:rPr>
                <w:rFonts w:hint="eastAsia" w:ascii="宋体" w:hAnsi="宋体" w:eastAsia="仿宋_GB2312" w:cs="仿宋_GB2312"/>
                <w:color w:val="auto"/>
                <w:sz w:val="24"/>
                <w:szCs w:val="24"/>
                <w:lang w:val="en-US" w:eastAsia="en-US"/>
              </w:rPr>
              <w:t>个月</w:t>
            </w:r>
            <w:r>
              <w:rPr>
                <w:rFonts w:hint="eastAsia" w:ascii="宋体" w:hAnsi="宋体" w:eastAsia="仿宋_GB2312" w:cs="仿宋_GB2312"/>
                <w:color w:val="auto"/>
                <w:sz w:val="24"/>
                <w:szCs w:val="24"/>
                <w:lang w:val="en-US" w:eastAsia="zh-CN"/>
              </w:rPr>
              <w:t>（含）以上</w:t>
            </w:r>
          </w:p>
        </w:tc>
        <w:tc>
          <w:tcPr>
            <w:tcW w:w="3579" w:type="dxa"/>
            <w:noWrap w:val="0"/>
            <w:vAlign w:val="center"/>
          </w:tcPr>
          <w:p w14:paraId="61321ABD">
            <w:pPr>
              <w:keepNext w:val="0"/>
              <w:keepLines w:val="0"/>
              <w:pageBreakBefore w:val="0"/>
              <w:widowControl w:val="0"/>
              <w:numPr>
                <w:ilvl w:val="0"/>
                <w:numId w:val="0"/>
              </w:numPr>
              <w:pBdr>
                <w:top w:val="none" w:color="auto" w:sz="0" w:space="0"/>
                <w:bottom w:val="none" w:color="auto" w:sz="0" w:space="0"/>
              </w:pBdr>
              <w:kinsoku/>
              <w:wordWrap/>
              <w:overflowPunct/>
              <w:topLinePunct w:val="0"/>
              <w:autoSpaceDE/>
              <w:autoSpaceDN/>
              <w:bidi w:val="0"/>
              <w:adjustRightInd/>
              <w:snapToGrid/>
              <w:spacing w:after="0" w:line="500" w:lineRule="exact"/>
              <w:ind w:firstLine="0" w:firstLineChars="0"/>
              <w:jc w:val="center"/>
              <w:textAlignment w:val="auto"/>
              <w:rPr>
                <w:rFonts w:hint="eastAsia" w:ascii="宋体" w:hAnsi="宋体" w:eastAsia="仿宋_GB2312" w:cs="仿宋_GB2312"/>
                <w:color w:val="auto"/>
                <w:sz w:val="24"/>
                <w:szCs w:val="24"/>
                <w:lang w:val="en-US" w:eastAsia="zh-CN"/>
              </w:rPr>
            </w:pPr>
            <w:r>
              <w:rPr>
                <w:rFonts w:hint="eastAsia" w:ascii="宋体" w:hAnsi="宋体" w:eastAsia="仿宋_GB2312" w:cs="仿宋_GB2312"/>
                <w:color w:val="auto"/>
                <w:sz w:val="24"/>
                <w:szCs w:val="24"/>
                <w:lang w:val="en-US" w:eastAsia="zh-CN"/>
              </w:rPr>
              <w:t>400KG（含）以上</w:t>
            </w:r>
          </w:p>
        </w:tc>
        <w:tc>
          <w:tcPr>
            <w:tcW w:w="2063" w:type="dxa"/>
            <w:noWrap w:val="0"/>
            <w:vAlign w:val="center"/>
          </w:tcPr>
          <w:p w14:paraId="65375EFB">
            <w:pPr>
              <w:keepNext w:val="0"/>
              <w:keepLines w:val="0"/>
              <w:pageBreakBefore w:val="0"/>
              <w:widowControl w:val="0"/>
              <w:numPr>
                <w:ilvl w:val="0"/>
                <w:numId w:val="0"/>
              </w:numPr>
              <w:pBdr>
                <w:top w:val="none" w:color="auto" w:sz="0" w:space="0"/>
                <w:bottom w:val="none" w:color="auto" w:sz="0" w:space="0"/>
              </w:pBdr>
              <w:kinsoku/>
              <w:wordWrap/>
              <w:overflowPunct/>
              <w:topLinePunct w:val="0"/>
              <w:autoSpaceDE/>
              <w:autoSpaceDN/>
              <w:bidi w:val="0"/>
              <w:adjustRightInd/>
              <w:snapToGrid/>
              <w:spacing w:after="0" w:line="500" w:lineRule="exact"/>
              <w:ind w:firstLine="0" w:firstLineChars="0"/>
              <w:jc w:val="center"/>
              <w:textAlignment w:val="auto"/>
              <w:rPr>
                <w:rFonts w:hint="default" w:ascii="宋体" w:hAnsi="宋体" w:eastAsia="仿宋_GB2312" w:cs="仿宋_GB2312"/>
                <w:color w:val="auto"/>
                <w:sz w:val="24"/>
                <w:szCs w:val="24"/>
                <w:lang w:val="en-US" w:eastAsia="zh-CN"/>
              </w:rPr>
            </w:pPr>
            <w:r>
              <w:rPr>
                <w:rFonts w:hint="eastAsia" w:ascii="宋体" w:hAnsi="宋体" w:eastAsia="仿宋_GB2312" w:cs="仿宋_GB2312"/>
                <w:color w:val="auto"/>
                <w:sz w:val="24"/>
                <w:szCs w:val="24"/>
                <w:lang w:val="en-US" w:eastAsia="zh-CN"/>
              </w:rPr>
              <w:t>100%</w:t>
            </w:r>
          </w:p>
        </w:tc>
      </w:tr>
    </w:tbl>
    <w:p w14:paraId="2E3F2D16">
      <w:pPr>
        <w:keepNext w:val="0"/>
        <w:keepLines w:val="0"/>
        <w:pageBreakBefore w:val="0"/>
        <w:widowControl w:val="0"/>
        <w:pBdr>
          <w:top w:val="none" w:color="auto" w:sz="0" w:space="0"/>
          <w:bottom w:val="none" w:color="auto" w:sz="0" w:space="0"/>
        </w:pBdr>
        <w:kinsoku/>
        <w:wordWrap/>
        <w:overflowPunct w:val="0"/>
        <w:topLinePunct w:val="0"/>
        <w:autoSpaceDE w:val="0"/>
        <w:autoSpaceDN w:val="0"/>
        <w:bidi w:val="0"/>
        <w:adjustRightInd/>
        <w:snapToGrid/>
        <w:spacing w:before="65" w:beforeLines="20" w:after="0" w:line="590" w:lineRule="exact"/>
        <w:ind w:left="0" w:right="0" w:firstLine="600" w:firstLineChars="200"/>
        <w:jc w:val="both"/>
        <w:textAlignment w:val="auto"/>
        <w:rPr>
          <w:rFonts w:hint="eastAsia" w:ascii="宋体" w:hAnsi="宋体" w:eastAsia="仿宋_GB2312" w:cs="仿宋_GB2312"/>
          <w:color w:val="auto"/>
          <w:kern w:val="0"/>
          <w:sz w:val="30"/>
          <w:szCs w:val="30"/>
          <w:highlight w:val="none"/>
          <w:lang w:eastAsia="zh-CN"/>
        </w:rPr>
      </w:pPr>
      <w:r>
        <w:rPr>
          <w:rFonts w:hint="eastAsia" w:ascii="宋体" w:hAnsi="宋体" w:eastAsia="仿宋_GB2312" w:cs="仿宋_GB2312"/>
          <w:color w:val="auto"/>
          <w:spacing w:val="0"/>
          <w:kern w:val="0"/>
          <w:sz w:val="30"/>
          <w:szCs w:val="30"/>
          <w:highlight w:val="none"/>
          <w:lang w:eastAsia="zh-CN"/>
        </w:rPr>
        <w:t>（二）病死肉牛无害化处理应作为病死肉牛保险理赔的前提条件，不能确定无害化处理的，不予赔偿。当发生流行疫病政府统一扑杀情况：赔偿金额=每头赔偿金额×死亡头数-每头政府扑杀专项补贴金额×死亡头数。</w:t>
      </w:r>
    </w:p>
    <w:p w14:paraId="1E59640C">
      <w:pPr>
        <w:keepNext w:val="0"/>
        <w:keepLines w:val="0"/>
        <w:pageBreakBefore w:val="0"/>
        <w:widowControl w:val="0"/>
        <w:pBdr>
          <w:top w:val="none" w:color="auto" w:sz="0" w:space="0"/>
          <w:bottom w:val="none" w:color="auto" w:sz="0" w:space="0"/>
        </w:pBdr>
        <w:kinsoku/>
        <w:wordWrap/>
        <w:overflowPunct w:val="0"/>
        <w:topLinePunct w:val="0"/>
        <w:autoSpaceDE w:val="0"/>
        <w:autoSpaceDN w:val="0"/>
        <w:bidi w:val="0"/>
        <w:adjustRightInd/>
        <w:snapToGrid/>
        <w:spacing w:before="0" w:after="0" w:line="604" w:lineRule="exact"/>
        <w:ind w:left="0" w:right="0" w:firstLine="600" w:firstLineChars="200"/>
        <w:jc w:val="both"/>
        <w:textAlignment w:val="auto"/>
        <w:rPr>
          <w:rFonts w:hint="eastAsia" w:ascii="宋体" w:hAnsi="宋体" w:eastAsia="仿宋_GB2312" w:cs="仿宋_GB2312"/>
          <w:color w:val="auto"/>
          <w:kern w:val="0"/>
          <w:sz w:val="30"/>
          <w:szCs w:val="30"/>
          <w:highlight w:val="none"/>
          <w:lang w:eastAsia="zh-CN"/>
        </w:rPr>
      </w:pPr>
      <w:r>
        <w:rPr>
          <w:rFonts w:hint="eastAsia" w:ascii="宋体" w:hAnsi="宋体" w:eastAsia="仿宋_GB2312" w:cs="仿宋_GB2312"/>
          <w:color w:val="auto"/>
          <w:spacing w:val="0"/>
          <w:kern w:val="0"/>
          <w:sz w:val="30"/>
          <w:szCs w:val="30"/>
          <w:highlight w:val="none"/>
          <w:lang w:eastAsia="zh-CN"/>
        </w:rPr>
        <w:t>（三）发生保险事故时，保险单载明的保险数量小于其可保数量时，若无法区分保险肉牛与非保险肉牛的，承保公司按照保险单载明的保险数量与可保数量的比例计算赔偿。</w:t>
      </w:r>
    </w:p>
    <w:p w14:paraId="4B2F3C63">
      <w:pPr>
        <w:keepNext w:val="0"/>
        <w:keepLines w:val="0"/>
        <w:pageBreakBefore w:val="0"/>
        <w:widowControl w:val="0"/>
        <w:pBdr>
          <w:top w:val="none" w:color="auto" w:sz="0" w:space="0"/>
          <w:bottom w:val="none" w:color="auto" w:sz="0" w:space="0"/>
        </w:pBdr>
        <w:kinsoku/>
        <w:wordWrap/>
        <w:overflowPunct w:val="0"/>
        <w:topLinePunct w:val="0"/>
        <w:autoSpaceDE w:val="0"/>
        <w:autoSpaceDN w:val="0"/>
        <w:bidi w:val="0"/>
        <w:adjustRightInd/>
        <w:snapToGrid/>
        <w:spacing w:before="0" w:after="0" w:line="604" w:lineRule="exact"/>
        <w:ind w:left="0" w:right="0" w:firstLine="600" w:firstLineChars="200"/>
        <w:jc w:val="both"/>
        <w:textAlignment w:val="auto"/>
        <w:rPr>
          <w:rFonts w:hint="eastAsia" w:ascii="宋体" w:hAnsi="宋体" w:eastAsia="仿宋_GB2312" w:cs="仿宋_GB2312"/>
          <w:color w:val="auto"/>
          <w:kern w:val="0"/>
          <w:sz w:val="30"/>
          <w:szCs w:val="30"/>
          <w:highlight w:val="none"/>
          <w:lang w:eastAsia="zh-CN"/>
        </w:rPr>
      </w:pPr>
      <w:r>
        <w:rPr>
          <w:rFonts w:hint="eastAsia" w:ascii="宋体" w:hAnsi="宋体" w:eastAsia="仿宋_GB2312" w:cs="仿宋_GB2312"/>
          <w:color w:val="auto"/>
          <w:spacing w:val="0"/>
          <w:kern w:val="0"/>
          <w:sz w:val="30"/>
          <w:szCs w:val="30"/>
          <w:highlight w:val="none"/>
          <w:lang w:eastAsia="zh-CN"/>
        </w:rPr>
        <w:t>保险单载明的保险数量大于其可保数量时，承保公司以可保数量为赔偿计算标准；本条所指可保数量指符合保险合同约定的保险肉牛实际养殖数量。</w:t>
      </w:r>
    </w:p>
    <w:p w14:paraId="371288A0">
      <w:pPr>
        <w:keepNext w:val="0"/>
        <w:keepLines w:val="0"/>
        <w:pageBreakBefore w:val="0"/>
        <w:widowControl w:val="0"/>
        <w:pBdr>
          <w:top w:val="none" w:color="auto" w:sz="0" w:space="0"/>
          <w:bottom w:val="none" w:color="auto" w:sz="0" w:space="0"/>
        </w:pBdr>
        <w:kinsoku/>
        <w:wordWrap/>
        <w:overflowPunct w:val="0"/>
        <w:topLinePunct w:val="0"/>
        <w:autoSpaceDE w:val="0"/>
        <w:autoSpaceDN w:val="0"/>
        <w:bidi w:val="0"/>
        <w:adjustRightInd/>
        <w:snapToGrid/>
        <w:spacing w:line="604" w:lineRule="exact"/>
        <w:ind w:right="0" w:firstLine="600" w:firstLineChars="200"/>
        <w:jc w:val="both"/>
        <w:textAlignment w:val="auto"/>
        <w:rPr>
          <w:rFonts w:hint="eastAsia" w:ascii="宋体" w:hAnsi="宋体" w:eastAsia="仿宋_GB2312" w:cs="仿宋_GB2312"/>
          <w:color w:val="auto"/>
          <w:spacing w:val="0"/>
          <w:kern w:val="0"/>
          <w:sz w:val="30"/>
          <w:szCs w:val="30"/>
          <w:highlight w:val="none"/>
          <w:lang w:eastAsia="zh-CN"/>
        </w:rPr>
      </w:pPr>
      <w:r>
        <w:rPr>
          <w:rFonts w:hint="eastAsia" w:ascii="宋体" w:hAnsi="宋体" w:eastAsia="仿宋_GB2312" w:cs="仿宋_GB2312"/>
          <w:color w:val="auto"/>
          <w:spacing w:val="0"/>
          <w:kern w:val="0"/>
          <w:sz w:val="30"/>
          <w:szCs w:val="30"/>
          <w:highlight w:val="none"/>
          <w:lang w:eastAsia="zh-CN"/>
        </w:rPr>
        <w:t>（四）承保机构在与受灾农户达成赔偿保险金的协议后10日内，履行支付赔偿保险金义务。</w:t>
      </w:r>
    </w:p>
    <w:p w14:paraId="0C264CD9"/>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23F0A4D"/>
    <w:rsid w:val="001B7932"/>
    <w:rsid w:val="005546D4"/>
    <w:rsid w:val="00635E00"/>
    <w:rsid w:val="007A47C7"/>
    <w:rsid w:val="00C74BC7"/>
    <w:rsid w:val="011B04CB"/>
    <w:rsid w:val="012E3196"/>
    <w:rsid w:val="022126EB"/>
    <w:rsid w:val="02304406"/>
    <w:rsid w:val="0239752D"/>
    <w:rsid w:val="023B15C9"/>
    <w:rsid w:val="03287B0F"/>
    <w:rsid w:val="03B1569D"/>
    <w:rsid w:val="03BF5681"/>
    <w:rsid w:val="03D5141F"/>
    <w:rsid w:val="03D74F2C"/>
    <w:rsid w:val="04031CE6"/>
    <w:rsid w:val="04257102"/>
    <w:rsid w:val="04730F0C"/>
    <w:rsid w:val="04DA7C54"/>
    <w:rsid w:val="050D1E04"/>
    <w:rsid w:val="051D14A5"/>
    <w:rsid w:val="0540015D"/>
    <w:rsid w:val="055A00F9"/>
    <w:rsid w:val="057C0083"/>
    <w:rsid w:val="05AD416A"/>
    <w:rsid w:val="05C00209"/>
    <w:rsid w:val="05DA4FB0"/>
    <w:rsid w:val="0635231F"/>
    <w:rsid w:val="06615612"/>
    <w:rsid w:val="06BF259E"/>
    <w:rsid w:val="07236141"/>
    <w:rsid w:val="074C3239"/>
    <w:rsid w:val="07B61FB5"/>
    <w:rsid w:val="07F37EB9"/>
    <w:rsid w:val="08043D1E"/>
    <w:rsid w:val="084A548F"/>
    <w:rsid w:val="089C4D7B"/>
    <w:rsid w:val="089E0D6F"/>
    <w:rsid w:val="09A02EF2"/>
    <w:rsid w:val="09D4435F"/>
    <w:rsid w:val="09D93B0E"/>
    <w:rsid w:val="0A62328F"/>
    <w:rsid w:val="0A724195"/>
    <w:rsid w:val="0A974C08"/>
    <w:rsid w:val="0A9927FB"/>
    <w:rsid w:val="0AB81290"/>
    <w:rsid w:val="0B2907CD"/>
    <w:rsid w:val="0BDA3132"/>
    <w:rsid w:val="0BDB6FA4"/>
    <w:rsid w:val="0BF619D4"/>
    <w:rsid w:val="0C0846B7"/>
    <w:rsid w:val="0C833A46"/>
    <w:rsid w:val="0CF76387"/>
    <w:rsid w:val="0D854721"/>
    <w:rsid w:val="0DFA031D"/>
    <w:rsid w:val="0E0A639A"/>
    <w:rsid w:val="0E1460CD"/>
    <w:rsid w:val="0E432AD7"/>
    <w:rsid w:val="0E616644"/>
    <w:rsid w:val="0E7D75B7"/>
    <w:rsid w:val="0EA071BB"/>
    <w:rsid w:val="0EB5140A"/>
    <w:rsid w:val="0ED820BA"/>
    <w:rsid w:val="0F623180"/>
    <w:rsid w:val="0F890502"/>
    <w:rsid w:val="0F8F4C7D"/>
    <w:rsid w:val="100B7305"/>
    <w:rsid w:val="10216E72"/>
    <w:rsid w:val="10223BC7"/>
    <w:rsid w:val="1057177D"/>
    <w:rsid w:val="10CE6E57"/>
    <w:rsid w:val="10D67B87"/>
    <w:rsid w:val="10F91F6B"/>
    <w:rsid w:val="113F3479"/>
    <w:rsid w:val="115660B9"/>
    <w:rsid w:val="1180031A"/>
    <w:rsid w:val="11AD0F05"/>
    <w:rsid w:val="11DA3A32"/>
    <w:rsid w:val="121E19BE"/>
    <w:rsid w:val="12676E96"/>
    <w:rsid w:val="12786D6D"/>
    <w:rsid w:val="12B77111"/>
    <w:rsid w:val="135770E3"/>
    <w:rsid w:val="136510E1"/>
    <w:rsid w:val="137E7BE3"/>
    <w:rsid w:val="1398694A"/>
    <w:rsid w:val="13E26731"/>
    <w:rsid w:val="140B63D8"/>
    <w:rsid w:val="1423796B"/>
    <w:rsid w:val="14384EC6"/>
    <w:rsid w:val="14B14C50"/>
    <w:rsid w:val="154B352C"/>
    <w:rsid w:val="15A377BD"/>
    <w:rsid w:val="15F14A14"/>
    <w:rsid w:val="164A3786"/>
    <w:rsid w:val="167E720B"/>
    <w:rsid w:val="16AD67A9"/>
    <w:rsid w:val="16CA6A04"/>
    <w:rsid w:val="175E3D60"/>
    <w:rsid w:val="18295234"/>
    <w:rsid w:val="184A4CFA"/>
    <w:rsid w:val="185D0EF8"/>
    <w:rsid w:val="18616B1F"/>
    <w:rsid w:val="18955468"/>
    <w:rsid w:val="189779AC"/>
    <w:rsid w:val="18CA388F"/>
    <w:rsid w:val="18D82398"/>
    <w:rsid w:val="18F7541A"/>
    <w:rsid w:val="18FA29F1"/>
    <w:rsid w:val="18FB4F3D"/>
    <w:rsid w:val="19601618"/>
    <w:rsid w:val="19FF6254"/>
    <w:rsid w:val="1A3C4C9D"/>
    <w:rsid w:val="1A5E32DF"/>
    <w:rsid w:val="1A9752FB"/>
    <w:rsid w:val="1B3F34AE"/>
    <w:rsid w:val="1B40358F"/>
    <w:rsid w:val="1B63376E"/>
    <w:rsid w:val="1C086C36"/>
    <w:rsid w:val="1C331F59"/>
    <w:rsid w:val="1C3E5127"/>
    <w:rsid w:val="1C806976"/>
    <w:rsid w:val="1C977B2E"/>
    <w:rsid w:val="1CCC33D0"/>
    <w:rsid w:val="1CCE78C1"/>
    <w:rsid w:val="1CEB68D7"/>
    <w:rsid w:val="1D48784E"/>
    <w:rsid w:val="1DFC28C2"/>
    <w:rsid w:val="1E353706"/>
    <w:rsid w:val="1E375C40"/>
    <w:rsid w:val="1E4C3B78"/>
    <w:rsid w:val="1EF26200"/>
    <w:rsid w:val="1EF91C65"/>
    <w:rsid w:val="1F122D82"/>
    <w:rsid w:val="1F49266F"/>
    <w:rsid w:val="1F79723E"/>
    <w:rsid w:val="1F9C49D9"/>
    <w:rsid w:val="1FEB440D"/>
    <w:rsid w:val="20337573"/>
    <w:rsid w:val="20436BA7"/>
    <w:rsid w:val="2086783C"/>
    <w:rsid w:val="20BE4DAA"/>
    <w:rsid w:val="219C5739"/>
    <w:rsid w:val="21AA5958"/>
    <w:rsid w:val="21D7395D"/>
    <w:rsid w:val="21F7437C"/>
    <w:rsid w:val="22A93250"/>
    <w:rsid w:val="22C324A4"/>
    <w:rsid w:val="22E5142D"/>
    <w:rsid w:val="22F7430C"/>
    <w:rsid w:val="23797881"/>
    <w:rsid w:val="2385100E"/>
    <w:rsid w:val="23A41AA6"/>
    <w:rsid w:val="23CB2AE2"/>
    <w:rsid w:val="23FF7A2F"/>
    <w:rsid w:val="24127851"/>
    <w:rsid w:val="24496AF5"/>
    <w:rsid w:val="24CA11CF"/>
    <w:rsid w:val="254679A7"/>
    <w:rsid w:val="25640F22"/>
    <w:rsid w:val="25F47A86"/>
    <w:rsid w:val="25FB20FC"/>
    <w:rsid w:val="26473A42"/>
    <w:rsid w:val="268F6368"/>
    <w:rsid w:val="27114D63"/>
    <w:rsid w:val="27A32E7F"/>
    <w:rsid w:val="27FC2285"/>
    <w:rsid w:val="284A14E6"/>
    <w:rsid w:val="28F13B90"/>
    <w:rsid w:val="28FB1785"/>
    <w:rsid w:val="29156B33"/>
    <w:rsid w:val="291F0524"/>
    <w:rsid w:val="296A00B1"/>
    <w:rsid w:val="29AE2BA1"/>
    <w:rsid w:val="29C42C90"/>
    <w:rsid w:val="2A190077"/>
    <w:rsid w:val="2A6C0EB1"/>
    <w:rsid w:val="2A6F6FFC"/>
    <w:rsid w:val="2A944B0E"/>
    <w:rsid w:val="2B415A12"/>
    <w:rsid w:val="2B5A38E2"/>
    <w:rsid w:val="2B5E04CE"/>
    <w:rsid w:val="2BE1291B"/>
    <w:rsid w:val="2C347336"/>
    <w:rsid w:val="2C480BCA"/>
    <w:rsid w:val="2CC8091A"/>
    <w:rsid w:val="2CDE6027"/>
    <w:rsid w:val="2CE0427D"/>
    <w:rsid w:val="2CE35FE5"/>
    <w:rsid w:val="2D2F2051"/>
    <w:rsid w:val="2D492FD0"/>
    <w:rsid w:val="2E2659E4"/>
    <w:rsid w:val="2E7A7AEA"/>
    <w:rsid w:val="2E9D2BB5"/>
    <w:rsid w:val="2EDB40E1"/>
    <w:rsid w:val="2F145AD7"/>
    <w:rsid w:val="2FB23CBD"/>
    <w:rsid w:val="2FD2540F"/>
    <w:rsid w:val="30303C28"/>
    <w:rsid w:val="303C5266"/>
    <w:rsid w:val="305B6016"/>
    <w:rsid w:val="309A0272"/>
    <w:rsid w:val="30FE47CE"/>
    <w:rsid w:val="31743775"/>
    <w:rsid w:val="319F68F4"/>
    <w:rsid w:val="32064FEB"/>
    <w:rsid w:val="323916CF"/>
    <w:rsid w:val="32481C48"/>
    <w:rsid w:val="326572A7"/>
    <w:rsid w:val="32662CCB"/>
    <w:rsid w:val="3272686E"/>
    <w:rsid w:val="3291393F"/>
    <w:rsid w:val="32E955D2"/>
    <w:rsid w:val="330B3B99"/>
    <w:rsid w:val="3311099D"/>
    <w:rsid w:val="331A41E0"/>
    <w:rsid w:val="33256200"/>
    <w:rsid w:val="334540C5"/>
    <w:rsid w:val="33473F51"/>
    <w:rsid w:val="337D0373"/>
    <w:rsid w:val="338D722B"/>
    <w:rsid w:val="339A3C7F"/>
    <w:rsid w:val="339F383F"/>
    <w:rsid w:val="34436819"/>
    <w:rsid w:val="3474327E"/>
    <w:rsid w:val="34C10B81"/>
    <w:rsid w:val="34E7458D"/>
    <w:rsid w:val="34F80983"/>
    <w:rsid w:val="35234BBD"/>
    <w:rsid w:val="35367E26"/>
    <w:rsid w:val="35E35D24"/>
    <w:rsid w:val="35EB79CF"/>
    <w:rsid w:val="363717E3"/>
    <w:rsid w:val="364865F0"/>
    <w:rsid w:val="36862FAB"/>
    <w:rsid w:val="3703767C"/>
    <w:rsid w:val="37147882"/>
    <w:rsid w:val="37183A44"/>
    <w:rsid w:val="37A6451D"/>
    <w:rsid w:val="37F95A23"/>
    <w:rsid w:val="38602AC8"/>
    <w:rsid w:val="38CA791C"/>
    <w:rsid w:val="38DF0F84"/>
    <w:rsid w:val="391723C3"/>
    <w:rsid w:val="391B7BFC"/>
    <w:rsid w:val="393B43E9"/>
    <w:rsid w:val="39FB2037"/>
    <w:rsid w:val="3A051AD0"/>
    <w:rsid w:val="3A181D5F"/>
    <w:rsid w:val="3A1E5668"/>
    <w:rsid w:val="3AB775F6"/>
    <w:rsid w:val="3B2842A5"/>
    <w:rsid w:val="3B721E4F"/>
    <w:rsid w:val="3BD22931"/>
    <w:rsid w:val="3BF378C1"/>
    <w:rsid w:val="3C247835"/>
    <w:rsid w:val="3C3C6F6F"/>
    <w:rsid w:val="3D0071EB"/>
    <w:rsid w:val="3D3777B5"/>
    <w:rsid w:val="3D4202FC"/>
    <w:rsid w:val="3D437950"/>
    <w:rsid w:val="3DA87077"/>
    <w:rsid w:val="3DD72D9E"/>
    <w:rsid w:val="3DF64344"/>
    <w:rsid w:val="3E077402"/>
    <w:rsid w:val="3E0F5B54"/>
    <w:rsid w:val="3E197A8F"/>
    <w:rsid w:val="3E2F0D1E"/>
    <w:rsid w:val="3E390DE4"/>
    <w:rsid w:val="3E3C6A92"/>
    <w:rsid w:val="3E7D33B2"/>
    <w:rsid w:val="3E7D38E5"/>
    <w:rsid w:val="3EC071DA"/>
    <w:rsid w:val="3F143392"/>
    <w:rsid w:val="3F2A0D93"/>
    <w:rsid w:val="3F3159CE"/>
    <w:rsid w:val="3FFF20BE"/>
    <w:rsid w:val="403C6BA8"/>
    <w:rsid w:val="409B2186"/>
    <w:rsid w:val="427B11F5"/>
    <w:rsid w:val="430F1C4F"/>
    <w:rsid w:val="432C00CB"/>
    <w:rsid w:val="435A2A30"/>
    <w:rsid w:val="43624617"/>
    <w:rsid w:val="438E12FC"/>
    <w:rsid w:val="43D95954"/>
    <w:rsid w:val="43FD322F"/>
    <w:rsid w:val="44045862"/>
    <w:rsid w:val="44335DBA"/>
    <w:rsid w:val="444B6A2F"/>
    <w:rsid w:val="44B63ECB"/>
    <w:rsid w:val="44EB711D"/>
    <w:rsid w:val="450671F5"/>
    <w:rsid w:val="456C3385"/>
    <w:rsid w:val="456D2780"/>
    <w:rsid w:val="45AA2F2C"/>
    <w:rsid w:val="45AC55FD"/>
    <w:rsid w:val="45BA5661"/>
    <w:rsid w:val="45CE7426"/>
    <w:rsid w:val="460651F5"/>
    <w:rsid w:val="462F57C9"/>
    <w:rsid w:val="465B190B"/>
    <w:rsid w:val="46817D77"/>
    <w:rsid w:val="46864003"/>
    <w:rsid w:val="46AB0986"/>
    <w:rsid w:val="46B127A3"/>
    <w:rsid w:val="46D74346"/>
    <w:rsid w:val="46E11F8F"/>
    <w:rsid w:val="47097E4C"/>
    <w:rsid w:val="47CC09E2"/>
    <w:rsid w:val="47D56408"/>
    <w:rsid w:val="481532A8"/>
    <w:rsid w:val="482D43FC"/>
    <w:rsid w:val="48646920"/>
    <w:rsid w:val="488F4B06"/>
    <w:rsid w:val="489736AD"/>
    <w:rsid w:val="48EE4DC1"/>
    <w:rsid w:val="490D5E88"/>
    <w:rsid w:val="49540487"/>
    <w:rsid w:val="49595EF6"/>
    <w:rsid w:val="49E93BAD"/>
    <w:rsid w:val="4A3378F4"/>
    <w:rsid w:val="4A3B64EC"/>
    <w:rsid w:val="4A494400"/>
    <w:rsid w:val="4AD20EFB"/>
    <w:rsid w:val="4AF42591"/>
    <w:rsid w:val="4B10680C"/>
    <w:rsid w:val="4B462E7C"/>
    <w:rsid w:val="4B5478BD"/>
    <w:rsid w:val="4B835D29"/>
    <w:rsid w:val="4BF1403D"/>
    <w:rsid w:val="4BF3005D"/>
    <w:rsid w:val="4D030E4B"/>
    <w:rsid w:val="4D856FCB"/>
    <w:rsid w:val="4E044448"/>
    <w:rsid w:val="4E0C2ED7"/>
    <w:rsid w:val="4E9F64D6"/>
    <w:rsid w:val="4EC85D58"/>
    <w:rsid w:val="4F1A0075"/>
    <w:rsid w:val="4F2C201C"/>
    <w:rsid w:val="4FDC07CD"/>
    <w:rsid w:val="503A58E7"/>
    <w:rsid w:val="505A7568"/>
    <w:rsid w:val="50C6593E"/>
    <w:rsid w:val="50CA3A49"/>
    <w:rsid w:val="50F47762"/>
    <w:rsid w:val="514569E5"/>
    <w:rsid w:val="516A0255"/>
    <w:rsid w:val="51E54ADE"/>
    <w:rsid w:val="52037B49"/>
    <w:rsid w:val="52050B8F"/>
    <w:rsid w:val="52467058"/>
    <w:rsid w:val="524B5C49"/>
    <w:rsid w:val="526D3677"/>
    <w:rsid w:val="529F4E9B"/>
    <w:rsid w:val="52E8739F"/>
    <w:rsid w:val="536B7406"/>
    <w:rsid w:val="53C86535"/>
    <w:rsid w:val="54976C4B"/>
    <w:rsid w:val="54A66F81"/>
    <w:rsid w:val="54C52267"/>
    <w:rsid w:val="54CF6424"/>
    <w:rsid w:val="54DC3D13"/>
    <w:rsid w:val="54FB11E8"/>
    <w:rsid w:val="55A40194"/>
    <w:rsid w:val="56210C1D"/>
    <w:rsid w:val="56326793"/>
    <w:rsid w:val="56C40C2F"/>
    <w:rsid w:val="56D65F6C"/>
    <w:rsid w:val="56E77551"/>
    <w:rsid w:val="572E16FC"/>
    <w:rsid w:val="57321082"/>
    <w:rsid w:val="576A4458"/>
    <w:rsid w:val="578800FC"/>
    <w:rsid w:val="57D237B9"/>
    <w:rsid w:val="58B41244"/>
    <w:rsid w:val="58B75B62"/>
    <w:rsid w:val="58BA3695"/>
    <w:rsid w:val="58F96790"/>
    <w:rsid w:val="593A584D"/>
    <w:rsid w:val="594154D2"/>
    <w:rsid w:val="59503200"/>
    <w:rsid w:val="59957B60"/>
    <w:rsid w:val="59A21EC6"/>
    <w:rsid w:val="59DD1339"/>
    <w:rsid w:val="5A2F77A1"/>
    <w:rsid w:val="5A761D9E"/>
    <w:rsid w:val="5B0F33D4"/>
    <w:rsid w:val="5B8E215A"/>
    <w:rsid w:val="5BAC2E9B"/>
    <w:rsid w:val="5BC34F8C"/>
    <w:rsid w:val="5BE82AFB"/>
    <w:rsid w:val="5C376142"/>
    <w:rsid w:val="5C444D47"/>
    <w:rsid w:val="5C5A41B8"/>
    <w:rsid w:val="5D3C5A49"/>
    <w:rsid w:val="5D470242"/>
    <w:rsid w:val="5D65626D"/>
    <w:rsid w:val="5D863933"/>
    <w:rsid w:val="5D8863D2"/>
    <w:rsid w:val="5DBF627A"/>
    <w:rsid w:val="5E120E55"/>
    <w:rsid w:val="5E5E3EDA"/>
    <w:rsid w:val="5E717691"/>
    <w:rsid w:val="5E9D3A7D"/>
    <w:rsid w:val="5EE601D7"/>
    <w:rsid w:val="5F492B85"/>
    <w:rsid w:val="5F4F7C48"/>
    <w:rsid w:val="5F5E19EE"/>
    <w:rsid w:val="5F9A24EE"/>
    <w:rsid w:val="5FFC1C44"/>
    <w:rsid w:val="6040355A"/>
    <w:rsid w:val="60735D0A"/>
    <w:rsid w:val="607D6644"/>
    <w:rsid w:val="609A0DF0"/>
    <w:rsid w:val="60CF59DB"/>
    <w:rsid w:val="60E46184"/>
    <w:rsid w:val="611862CD"/>
    <w:rsid w:val="61430D80"/>
    <w:rsid w:val="616C6E52"/>
    <w:rsid w:val="61834E9E"/>
    <w:rsid w:val="61A8250E"/>
    <w:rsid w:val="61B779DD"/>
    <w:rsid w:val="621651D2"/>
    <w:rsid w:val="623F0A4D"/>
    <w:rsid w:val="6274609D"/>
    <w:rsid w:val="627E7605"/>
    <w:rsid w:val="633D2524"/>
    <w:rsid w:val="6340542F"/>
    <w:rsid w:val="63513248"/>
    <w:rsid w:val="63812EA6"/>
    <w:rsid w:val="63B81540"/>
    <w:rsid w:val="63C17BBE"/>
    <w:rsid w:val="643A4137"/>
    <w:rsid w:val="64E65D7C"/>
    <w:rsid w:val="65714F13"/>
    <w:rsid w:val="659C7441"/>
    <w:rsid w:val="668C38D8"/>
    <w:rsid w:val="66EA5E5C"/>
    <w:rsid w:val="67267B78"/>
    <w:rsid w:val="67854E2A"/>
    <w:rsid w:val="67FB2920"/>
    <w:rsid w:val="681E4916"/>
    <w:rsid w:val="688C5FD1"/>
    <w:rsid w:val="691A3632"/>
    <w:rsid w:val="69516D5F"/>
    <w:rsid w:val="697C73E1"/>
    <w:rsid w:val="69B4010B"/>
    <w:rsid w:val="69E13BAA"/>
    <w:rsid w:val="69E51513"/>
    <w:rsid w:val="6A527D4F"/>
    <w:rsid w:val="6ABF392C"/>
    <w:rsid w:val="6B331F90"/>
    <w:rsid w:val="6B541907"/>
    <w:rsid w:val="6B56284E"/>
    <w:rsid w:val="6B595BDD"/>
    <w:rsid w:val="6BC431B7"/>
    <w:rsid w:val="6BC96569"/>
    <w:rsid w:val="6C407012"/>
    <w:rsid w:val="6C602D97"/>
    <w:rsid w:val="6C794DFE"/>
    <w:rsid w:val="6C962A4D"/>
    <w:rsid w:val="6C9E0C9F"/>
    <w:rsid w:val="6CE96E46"/>
    <w:rsid w:val="6D2846C9"/>
    <w:rsid w:val="6D2F2F7D"/>
    <w:rsid w:val="6E053DBD"/>
    <w:rsid w:val="6E4B225C"/>
    <w:rsid w:val="6E5C3425"/>
    <w:rsid w:val="6EEE451A"/>
    <w:rsid w:val="6F326E58"/>
    <w:rsid w:val="6F3C0B24"/>
    <w:rsid w:val="6F517FAA"/>
    <w:rsid w:val="6F5934C4"/>
    <w:rsid w:val="6FBE1FD2"/>
    <w:rsid w:val="6FD80481"/>
    <w:rsid w:val="708F432E"/>
    <w:rsid w:val="70BA5B56"/>
    <w:rsid w:val="70D678E2"/>
    <w:rsid w:val="70DE7EBC"/>
    <w:rsid w:val="70ED7FE3"/>
    <w:rsid w:val="710937D8"/>
    <w:rsid w:val="71215F49"/>
    <w:rsid w:val="714566CD"/>
    <w:rsid w:val="72236713"/>
    <w:rsid w:val="726478B6"/>
    <w:rsid w:val="726C7788"/>
    <w:rsid w:val="727275EF"/>
    <w:rsid w:val="72813003"/>
    <w:rsid w:val="728661BD"/>
    <w:rsid w:val="729C1D30"/>
    <w:rsid w:val="73504BDF"/>
    <w:rsid w:val="73510455"/>
    <w:rsid w:val="736253FB"/>
    <w:rsid w:val="736A4915"/>
    <w:rsid w:val="736C240E"/>
    <w:rsid w:val="73B50536"/>
    <w:rsid w:val="74251BDC"/>
    <w:rsid w:val="745F52E7"/>
    <w:rsid w:val="74731122"/>
    <w:rsid w:val="74A5519C"/>
    <w:rsid w:val="74EC3198"/>
    <w:rsid w:val="75087284"/>
    <w:rsid w:val="75AC58E1"/>
    <w:rsid w:val="75DA6217"/>
    <w:rsid w:val="75E25FA2"/>
    <w:rsid w:val="75F05766"/>
    <w:rsid w:val="762363F6"/>
    <w:rsid w:val="763A0BF6"/>
    <w:rsid w:val="76A449F6"/>
    <w:rsid w:val="77281FEE"/>
    <w:rsid w:val="77DA5AC6"/>
    <w:rsid w:val="77EB4D7B"/>
    <w:rsid w:val="78025003"/>
    <w:rsid w:val="78326E6A"/>
    <w:rsid w:val="78471FE1"/>
    <w:rsid w:val="78A57B7B"/>
    <w:rsid w:val="78A84346"/>
    <w:rsid w:val="7923098F"/>
    <w:rsid w:val="797C0C9E"/>
    <w:rsid w:val="79C52305"/>
    <w:rsid w:val="7A450DFE"/>
    <w:rsid w:val="7A5473A4"/>
    <w:rsid w:val="7AB95ABF"/>
    <w:rsid w:val="7B0A3F04"/>
    <w:rsid w:val="7B1727C7"/>
    <w:rsid w:val="7B70337F"/>
    <w:rsid w:val="7B953934"/>
    <w:rsid w:val="7C236022"/>
    <w:rsid w:val="7C6B3778"/>
    <w:rsid w:val="7C724246"/>
    <w:rsid w:val="7C8C3248"/>
    <w:rsid w:val="7CB750CB"/>
    <w:rsid w:val="7D144EEA"/>
    <w:rsid w:val="7D2E4979"/>
    <w:rsid w:val="7D6C760A"/>
    <w:rsid w:val="7DA20B35"/>
    <w:rsid w:val="7DF32C82"/>
    <w:rsid w:val="7EA54A11"/>
    <w:rsid w:val="7EBF25B5"/>
    <w:rsid w:val="7EEE545B"/>
    <w:rsid w:val="7F131B2C"/>
    <w:rsid w:val="7F3209C0"/>
    <w:rsid w:val="7FD56A23"/>
    <w:rsid w:val="7FDB024B"/>
    <w:rsid w:val="7FF76B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160" w:line="259" w:lineRule="auto"/>
      <w:jc w:val="both"/>
    </w:pPr>
    <w:rPr>
      <w:rFonts w:ascii="Calibri" w:hAnsi="Calibri" w:eastAsia="宋体" w:cs="Times New Roman"/>
      <w:kern w:val="2"/>
      <w:sz w:val="21"/>
      <w:szCs w:val="22"/>
      <w:lang w:eastAsia="zh-CN"/>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next w:val="1"/>
    <w:qFormat/>
    <w:uiPriority w:val="0"/>
    <w:pPr>
      <w:ind w:firstLine="630"/>
    </w:pPr>
    <w:rPr>
      <w:rFonts w:ascii="Times New Roman" w:hAnsi="Times New Roman" w:eastAsia="仿宋_GB2312"/>
      <w:kern w:val="0"/>
      <w:sz w:val="32"/>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云南省林业厅</Company>
  <Pages>4</Pages>
  <Words>0</Words>
  <Characters>0</Characters>
  <Lines>0</Lines>
  <Paragraphs>0</Paragraphs>
  <TotalTime>0</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2025-12-10T10:05:00Z</dcterms:created>
  <dc:creator>刘丹妮</dc:creator>
  <cp:lastModifiedBy>刘丹妮</cp:lastModifiedBy>
  <dcterms:modified xsi:type="dcterms:W3CDTF">2025-12-10T10:06:56Z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91E9D47A0C4E4280A62E7973ED05CB92_11</vt:lpwstr>
  </property>
  <property fmtid="{D5CDD505-2E9C-101B-9397-08002B2CF9AE}" pid="4" name="KSOTemplateDocerSaveRecord">
    <vt:lpwstr>eyJoZGlkIjoiZmNmM2Y3MTdkMmUxMzNmYmJkMWE3ZGExZDEyZmYzMDEiLCJ1c2VySWQiOiI0NTM1MDUxNDkifQ==</vt:lpwstr>
  </property>
</Properties>
</file>