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ED1BCB5">
      <w:pPr>
        <w:keepNext w:val="0"/>
        <w:keepLines w:val="0"/>
        <w:pageBreakBefore w:val="0"/>
        <w:widowControl w:val="0"/>
        <w:pBdr>
          <w:top w:val="none" w:color="auto" w:sz="0" w:space="0"/>
          <w:bottom w:val="none" w:color="auto" w:sz="0" w:space="0"/>
        </w:pBdr>
        <w:kinsoku/>
        <w:wordWrap/>
        <w:overflowPunct/>
        <w:topLinePunct w:val="0"/>
        <w:autoSpaceDE/>
        <w:autoSpaceDN/>
        <w:bidi w:val="0"/>
        <w:adjustRightInd/>
        <w:snapToGrid/>
        <w:spacing w:after="0" w:line="636" w:lineRule="exact"/>
        <w:ind w:firstLine="0"/>
        <w:jc w:val="both"/>
        <w:textAlignment w:val="auto"/>
        <w:rPr>
          <w:rFonts w:hint="default" w:ascii="宋体" w:hAnsi="宋体" w:eastAsia="仿宋_GB2312" w:cs="Times New Roman"/>
          <w:kern w:val="0"/>
          <w:sz w:val="30"/>
          <w:szCs w:val="30"/>
          <w:lang w:val="en-US" w:eastAsia="zh-CN" w:bidi="ar-SA"/>
        </w:rPr>
      </w:pPr>
      <w:bookmarkStart w:id="0" w:name="_GoBack"/>
      <w:r>
        <w:rPr>
          <w:rFonts w:hint="eastAsia" w:ascii="宋体" w:hAnsi="宋体" w:eastAsia="黑体" w:cs="黑体"/>
          <w:kern w:val="0"/>
          <w:sz w:val="30"/>
          <w:szCs w:val="30"/>
          <w:lang w:val="en-US" w:eastAsia="zh-CN" w:bidi="ar-SA"/>
        </w:rPr>
        <w:t>附件1-3</w:t>
      </w:r>
    </w:p>
    <w:bookmarkEnd w:id="0"/>
    <w:p w14:paraId="0E01D9FF">
      <w:pPr>
        <w:keepNext w:val="0"/>
        <w:keepLines w:val="0"/>
        <w:pageBreakBefore w:val="0"/>
        <w:widowControl w:val="0"/>
        <w:numPr>
          <w:ilvl w:val="0"/>
          <w:numId w:val="0"/>
        </w:numPr>
        <w:pBdr>
          <w:top w:val="none" w:color="auto" w:sz="0" w:space="0"/>
          <w:bottom w:val="none" w:color="auto" w:sz="0" w:space="0"/>
        </w:pBdr>
        <w:kinsoku/>
        <w:wordWrap/>
        <w:overflowPunct/>
        <w:topLinePunct w:val="0"/>
        <w:autoSpaceDE/>
        <w:autoSpaceDN/>
        <w:bidi w:val="0"/>
        <w:adjustRightInd/>
        <w:snapToGrid/>
        <w:spacing w:after="0" w:line="636" w:lineRule="exact"/>
        <w:jc w:val="center"/>
        <w:textAlignment w:val="auto"/>
        <w:rPr>
          <w:rFonts w:hint="eastAsia" w:ascii="宋体" w:hAnsi="宋体" w:eastAsia="方正小标宋简体" w:cs="方正小标宋简体"/>
          <w:kern w:val="0"/>
          <w:sz w:val="30"/>
          <w:szCs w:val="30"/>
          <w:lang w:val="en-US" w:eastAsia="zh-CN"/>
        </w:rPr>
      </w:pPr>
    </w:p>
    <w:p w14:paraId="67A60C98">
      <w:pPr>
        <w:keepNext w:val="0"/>
        <w:keepLines w:val="0"/>
        <w:pageBreakBefore w:val="0"/>
        <w:widowControl w:val="0"/>
        <w:numPr>
          <w:ilvl w:val="0"/>
          <w:numId w:val="0"/>
        </w:numPr>
        <w:pBdr>
          <w:top w:val="none" w:color="auto" w:sz="0" w:space="0"/>
          <w:bottom w:val="none" w:color="auto" w:sz="0" w:space="0"/>
        </w:pBdr>
        <w:kinsoku/>
        <w:wordWrap/>
        <w:overflowPunct/>
        <w:topLinePunct w:val="0"/>
        <w:autoSpaceDE/>
        <w:autoSpaceDN/>
        <w:bidi w:val="0"/>
        <w:adjustRightInd/>
        <w:snapToGrid/>
        <w:spacing w:after="0" w:line="636" w:lineRule="exact"/>
        <w:jc w:val="center"/>
        <w:textAlignment w:val="auto"/>
        <w:rPr>
          <w:rFonts w:hint="eastAsia" w:ascii="宋体" w:hAnsi="宋体" w:eastAsia="方正小标宋简体" w:cs="方正小标宋简体"/>
          <w:spacing w:val="6"/>
          <w:sz w:val="40"/>
          <w:szCs w:val="40"/>
          <w:highlight w:val="yellow"/>
          <w:lang w:val="en-US" w:eastAsia="zh-CN"/>
        </w:rPr>
      </w:pPr>
      <w:r>
        <w:rPr>
          <w:rFonts w:hint="eastAsia" w:ascii="宋体" w:hAnsi="宋体" w:eastAsia="方正小标宋简体" w:cs="方正小标宋简体"/>
          <w:spacing w:val="6"/>
          <w:kern w:val="0"/>
          <w:sz w:val="40"/>
          <w:szCs w:val="40"/>
          <w:lang w:val="en-US" w:eastAsia="zh-CN"/>
        </w:rPr>
        <w:t>云南省肉牛养殖收入保险实施方案</w:t>
      </w:r>
    </w:p>
    <w:p w14:paraId="0F68AEDA">
      <w:pPr>
        <w:pStyle w:val="2"/>
        <w:keepNext w:val="0"/>
        <w:keepLines w:val="0"/>
        <w:pageBreakBefore w:val="0"/>
        <w:widowControl w:val="0"/>
        <w:pBdr>
          <w:top w:val="none" w:color="auto" w:sz="0" w:space="0"/>
          <w:bottom w:val="none" w:color="auto" w:sz="0" w:space="0"/>
        </w:pBdr>
        <w:kinsoku/>
        <w:wordWrap/>
        <w:overflowPunct/>
        <w:topLinePunct w:val="0"/>
        <w:autoSpaceDE/>
        <w:autoSpaceDN/>
        <w:bidi w:val="0"/>
        <w:adjustRightInd/>
        <w:snapToGrid/>
        <w:spacing w:after="0" w:line="636" w:lineRule="exact"/>
        <w:ind w:firstLine="0"/>
        <w:textAlignment w:val="auto"/>
        <w:rPr>
          <w:rFonts w:hint="eastAsia" w:ascii="宋体" w:hAnsi="宋体"/>
          <w:sz w:val="30"/>
          <w:szCs w:val="30"/>
          <w:lang w:val="en-US" w:eastAsia="zh-CN"/>
        </w:rPr>
      </w:pPr>
    </w:p>
    <w:p w14:paraId="20DC1281">
      <w:pPr>
        <w:pStyle w:val="2"/>
        <w:keepNext w:val="0"/>
        <w:keepLines w:val="0"/>
        <w:pageBreakBefore w:val="0"/>
        <w:widowControl w:val="0"/>
        <w:numPr>
          <w:ilvl w:val="0"/>
          <w:numId w:val="0"/>
        </w:numPr>
        <w:pBdr>
          <w:top w:val="none" w:color="auto" w:sz="0" w:space="0"/>
          <w:bottom w:val="none" w:color="auto" w:sz="0" w:space="0"/>
        </w:pBdr>
        <w:kinsoku/>
        <w:wordWrap/>
        <w:overflowPunct w:val="0"/>
        <w:topLinePunct w:val="0"/>
        <w:autoSpaceDE/>
        <w:autoSpaceDN/>
        <w:bidi w:val="0"/>
        <w:adjustRightInd/>
        <w:snapToGrid/>
        <w:spacing w:after="0" w:line="636" w:lineRule="exact"/>
        <w:ind w:right="0" w:firstLine="600" w:firstLineChars="200"/>
        <w:textAlignment w:val="auto"/>
        <w:rPr>
          <w:rFonts w:hint="eastAsia" w:ascii="宋体" w:hAnsi="宋体" w:eastAsia="黑体" w:cs="黑体"/>
          <w:color w:val="auto"/>
          <w:kern w:val="0"/>
          <w:sz w:val="30"/>
          <w:szCs w:val="30"/>
          <w:lang w:val="en-US" w:eastAsia="zh-CN" w:bidi="ar-SA"/>
        </w:rPr>
      </w:pPr>
      <w:r>
        <w:rPr>
          <w:rFonts w:hint="eastAsia" w:ascii="宋体" w:hAnsi="宋体" w:eastAsia="黑体" w:cs="黑体"/>
          <w:color w:val="auto"/>
          <w:kern w:val="0"/>
          <w:sz w:val="30"/>
          <w:szCs w:val="30"/>
          <w:lang w:val="en-US" w:eastAsia="zh-CN" w:bidi="ar-SA"/>
        </w:rPr>
        <w:t>一、保险标的</w:t>
      </w:r>
    </w:p>
    <w:p w14:paraId="4FC4B69F">
      <w:pPr>
        <w:pStyle w:val="2"/>
        <w:keepNext w:val="0"/>
        <w:keepLines w:val="0"/>
        <w:pageBreakBefore w:val="0"/>
        <w:widowControl w:val="0"/>
        <w:numPr>
          <w:ilvl w:val="0"/>
          <w:numId w:val="0"/>
        </w:numPr>
        <w:pBdr>
          <w:top w:val="none" w:color="auto" w:sz="0" w:space="0"/>
          <w:bottom w:val="none" w:color="auto" w:sz="0" w:space="0"/>
        </w:pBdr>
        <w:kinsoku/>
        <w:wordWrap/>
        <w:overflowPunct w:val="0"/>
        <w:topLinePunct w:val="0"/>
        <w:bidi w:val="0"/>
        <w:adjustRightInd/>
        <w:snapToGrid/>
        <w:spacing w:after="0" w:line="636" w:lineRule="exact"/>
        <w:ind w:right="0" w:firstLine="600" w:firstLineChars="200"/>
        <w:jc w:val="both"/>
        <w:textAlignment w:val="auto"/>
        <w:rPr>
          <w:rFonts w:hint="eastAsia" w:ascii="宋体" w:hAnsi="宋体" w:eastAsia="仿宋_GB2312" w:cs="仿宋_GB2312"/>
          <w:color w:val="auto"/>
          <w:spacing w:val="0"/>
          <w:kern w:val="0"/>
          <w:sz w:val="30"/>
          <w:szCs w:val="30"/>
          <w:highlight w:val="none"/>
          <w:lang w:val="en-US" w:eastAsia="zh-CN" w:bidi="ar-SA"/>
        </w:rPr>
      </w:pPr>
      <w:r>
        <w:rPr>
          <w:rFonts w:hint="eastAsia" w:ascii="宋体" w:hAnsi="宋体" w:cs="仿宋_GB2312"/>
          <w:color w:val="auto"/>
          <w:spacing w:val="0"/>
          <w:kern w:val="0"/>
          <w:sz w:val="30"/>
          <w:szCs w:val="30"/>
          <w:highlight w:val="none"/>
          <w:lang w:val="en-US" w:eastAsia="zh-CN" w:bidi="ar-SA"/>
        </w:rPr>
        <w:t>（一）</w:t>
      </w:r>
      <w:r>
        <w:rPr>
          <w:rFonts w:hint="eastAsia" w:ascii="宋体" w:hAnsi="宋体" w:eastAsia="仿宋_GB2312" w:cs="仿宋_GB2312"/>
          <w:color w:val="auto"/>
          <w:spacing w:val="0"/>
          <w:kern w:val="0"/>
          <w:sz w:val="30"/>
          <w:szCs w:val="30"/>
          <w:highlight w:val="none"/>
          <w:lang w:val="en-US" w:eastAsia="zh-CN" w:bidi="ar-SA"/>
        </w:rPr>
        <w:t>投保的牛品种必须在当地饲养1年（含）以上</w:t>
      </w:r>
      <w:r>
        <w:rPr>
          <w:rFonts w:hint="eastAsia" w:ascii="宋体" w:hAnsi="宋体" w:cs="仿宋_GB2312"/>
          <w:color w:val="auto"/>
          <w:spacing w:val="0"/>
          <w:kern w:val="0"/>
          <w:sz w:val="30"/>
          <w:szCs w:val="30"/>
          <w:highlight w:val="none"/>
          <w:lang w:val="en-US" w:eastAsia="zh-CN" w:bidi="ar-SA"/>
        </w:rPr>
        <w:t>。</w:t>
      </w:r>
    </w:p>
    <w:p w14:paraId="79984FC6">
      <w:pPr>
        <w:pStyle w:val="2"/>
        <w:keepNext w:val="0"/>
        <w:keepLines w:val="0"/>
        <w:pageBreakBefore w:val="0"/>
        <w:widowControl w:val="0"/>
        <w:numPr>
          <w:ilvl w:val="0"/>
          <w:numId w:val="0"/>
        </w:numPr>
        <w:pBdr>
          <w:top w:val="none" w:color="auto" w:sz="0" w:space="0"/>
          <w:bottom w:val="none" w:color="auto" w:sz="0" w:space="0"/>
        </w:pBdr>
        <w:kinsoku/>
        <w:wordWrap/>
        <w:overflowPunct w:val="0"/>
        <w:topLinePunct w:val="0"/>
        <w:bidi w:val="0"/>
        <w:adjustRightInd/>
        <w:snapToGrid/>
        <w:spacing w:after="0" w:line="636" w:lineRule="exact"/>
        <w:ind w:right="0" w:firstLine="600" w:firstLineChars="200"/>
        <w:jc w:val="both"/>
        <w:textAlignment w:val="auto"/>
        <w:rPr>
          <w:rFonts w:hint="eastAsia" w:ascii="宋体" w:hAnsi="宋体" w:eastAsia="仿宋_GB2312" w:cs="仿宋_GB2312"/>
          <w:color w:val="auto"/>
          <w:spacing w:val="0"/>
          <w:kern w:val="0"/>
          <w:sz w:val="30"/>
          <w:szCs w:val="30"/>
          <w:highlight w:val="none"/>
          <w:lang w:val="en-US" w:eastAsia="zh-CN" w:bidi="ar-SA"/>
        </w:rPr>
      </w:pPr>
      <w:r>
        <w:rPr>
          <w:rFonts w:hint="eastAsia" w:ascii="宋体" w:hAnsi="宋体" w:cs="仿宋_GB2312"/>
          <w:color w:val="auto"/>
          <w:spacing w:val="0"/>
          <w:kern w:val="0"/>
          <w:sz w:val="30"/>
          <w:szCs w:val="30"/>
          <w:highlight w:val="none"/>
          <w:lang w:val="en-US" w:eastAsia="zh-CN" w:bidi="ar-SA"/>
        </w:rPr>
        <w:t>（二）</w:t>
      </w:r>
      <w:r>
        <w:rPr>
          <w:rFonts w:hint="eastAsia" w:ascii="宋体" w:hAnsi="宋体" w:eastAsia="仿宋_GB2312" w:cs="仿宋_GB2312"/>
          <w:color w:val="auto"/>
          <w:spacing w:val="0"/>
          <w:kern w:val="0"/>
          <w:sz w:val="30"/>
          <w:szCs w:val="30"/>
          <w:highlight w:val="none"/>
          <w:lang w:val="en-US" w:eastAsia="zh-CN" w:bidi="ar-SA"/>
        </w:rPr>
        <w:t>肉牛体重1</w:t>
      </w:r>
      <w:r>
        <w:rPr>
          <w:rFonts w:hint="eastAsia" w:ascii="宋体" w:hAnsi="宋体" w:cs="仿宋_GB2312"/>
          <w:color w:val="auto"/>
          <w:spacing w:val="0"/>
          <w:kern w:val="0"/>
          <w:sz w:val="30"/>
          <w:szCs w:val="30"/>
          <w:highlight w:val="none"/>
          <w:lang w:val="en-US" w:eastAsia="zh-CN" w:bidi="ar-SA"/>
        </w:rPr>
        <w:t>0</w:t>
      </w:r>
      <w:r>
        <w:rPr>
          <w:rFonts w:hint="eastAsia" w:ascii="宋体" w:hAnsi="宋体" w:eastAsia="仿宋_GB2312" w:cs="仿宋_GB2312"/>
          <w:color w:val="auto"/>
          <w:spacing w:val="0"/>
          <w:kern w:val="0"/>
          <w:sz w:val="30"/>
          <w:szCs w:val="30"/>
          <w:highlight w:val="none"/>
          <w:lang w:val="en-US" w:eastAsia="zh-CN" w:bidi="ar-SA"/>
        </w:rPr>
        <w:t>0KG以上（含）</w:t>
      </w:r>
      <w:r>
        <w:rPr>
          <w:rFonts w:hint="eastAsia" w:ascii="宋体" w:hAnsi="宋体" w:cs="仿宋_GB2312"/>
          <w:color w:val="auto"/>
          <w:spacing w:val="0"/>
          <w:kern w:val="0"/>
          <w:sz w:val="30"/>
          <w:szCs w:val="30"/>
          <w:highlight w:val="none"/>
          <w:lang w:val="en-US" w:eastAsia="zh-CN" w:bidi="ar-SA"/>
        </w:rPr>
        <w:t>。</w:t>
      </w:r>
    </w:p>
    <w:p w14:paraId="1531A9E4">
      <w:pPr>
        <w:pStyle w:val="2"/>
        <w:keepNext w:val="0"/>
        <w:keepLines w:val="0"/>
        <w:pageBreakBefore w:val="0"/>
        <w:widowControl w:val="0"/>
        <w:numPr>
          <w:ilvl w:val="0"/>
          <w:numId w:val="0"/>
        </w:numPr>
        <w:pBdr>
          <w:top w:val="none" w:color="auto" w:sz="0" w:space="0"/>
          <w:bottom w:val="none" w:color="auto" w:sz="0" w:space="0"/>
        </w:pBdr>
        <w:kinsoku/>
        <w:wordWrap/>
        <w:overflowPunct w:val="0"/>
        <w:topLinePunct w:val="0"/>
        <w:bidi w:val="0"/>
        <w:adjustRightInd/>
        <w:snapToGrid/>
        <w:spacing w:after="0" w:line="636" w:lineRule="exact"/>
        <w:ind w:right="0" w:firstLine="600" w:firstLineChars="200"/>
        <w:jc w:val="both"/>
        <w:textAlignment w:val="auto"/>
        <w:rPr>
          <w:rFonts w:hint="eastAsia" w:ascii="宋体" w:hAnsi="宋体" w:eastAsia="仿宋_GB2312" w:cs="仿宋_GB2312"/>
          <w:color w:val="auto"/>
          <w:spacing w:val="0"/>
          <w:kern w:val="0"/>
          <w:sz w:val="30"/>
          <w:szCs w:val="30"/>
          <w:highlight w:val="none"/>
          <w:lang w:val="en-US" w:eastAsia="zh-CN" w:bidi="ar-SA"/>
        </w:rPr>
      </w:pPr>
      <w:r>
        <w:rPr>
          <w:rFonts w:hint="eastAsia" w:ascii="宋体" w:hAnsi="宋体" w:cs="仿宋_GB2312"/>
          <w:color w:val="auto"/>
          <w:spacing w:val="0"/>
          <w:kern w:val="0"/>
          <w:sz w:val="30"/>
          <w:szCs w:val="30"/>
          <w:highlight w:val="none"/>
          <w:lang w:val="en-US" w:eastAsia="zh-CN" w:bidi="ar-SA"/>
        </w:rPr>
        <w:t>（三）</w:t>
      </w:r>
      <w:r>
        <w:rPr>
          <w:rFonts w:hint="eastAsia" w:ascii="宋体" w:hAnsi="宋体" w:eastAsia="仿宋_GB2312" w:cs="仿宋_GB2312"/>
          <w:color w:val="auto"/>
          <w:spacing w:val="0"/>
          <w:kern w:val="0"/>
          <w:sz w:val="30"/>
          <w:szCs w:val="30"/>
          <w:highlight w:val="none"/>
          <w:lang w:val="en-US" w:eastAsia="zh-CN" w:bidi="ar-SA"/>
        </w:rPr>
        <w:t>肉牛经畜牧兽医部门验明无伤残，无本保险责任范围内的疾病，营养良好，饲养管理正常</w:t>
      </w:r>
      <w:r>
        <w:rPr>
          <w:rFonts w:hint="eastAsia" w:ascii="宋体" w:hAnsi="宋体" w:cs="仿宋_GB2312"/>
          <w:color w:val="auto"/>
          <w:spacing w:val="0"/>
          <w:kern w:val="0"/>
          <w:sz w:val="30"/>
          <w:szCs w:val="30"/>
          <w:highlight w:val="none"/>
          <w:lang w:val="en-US" w:eastAsia="zh-CN" w:bidi="ar-SA"/>
        </w:rPr>
        <w:t>。</w:t>
      </w:r>
    </w:p>
    <w:p w14:paraId="5CAC572A">
      <w:pPr>
        <w:pStyle w:val="2"/>
        <w:keepNext w:val="0"/>
        <w:keepLines w:val="0"/>
        <w:pageBreakBefore w:val="0"/>
        <w:widowControl w:val="0"/>
        <w:numPr>
          <w:ilvl w:val="0"/>
          <w:numId w:val="0"/>
        </w:numPr>
        <w:pBdr>
          <w:top w:val="none" w:color="auto" w:sz="0" w:space="0"/>
          <w:bottom w:val="none" w:color="auto" w:sz="0" w:space="0"/>
        </w:pBdr>
        <w:kinsoku/>
        <w:wordWrap/>
        <w:overflowPunct w:val="0"/>
        <w:topLinePunct w:val="0"/>
        <w:bidi w:val="0"/>
        <w:adjustRightInd/>
        <w:snapToGrid/>
        <w:spacing w:after="0" w:line="636" w:lineRule="exact"/>
        <w:ind w:right="0" w:firstLine="600" w:firstLineChars="200"/>
        <w:jc w:val="both"/>
        <w:textAlignment w:val="auto"/>
        <w:rPr>
          <w:rFonts w:hint="eastAsia" w:ascii="宋体" w:hAnsi="宋体" w:eastAsia="仿宋_GB2312" w:cs="仿宋_GB2312"/>
          <w:color w:val="auto"/>
          <w:spacing w:val="0"/>
          <w:kern w:val="0"/>
          <w:sz w:val="30"/>
          <w:szCs w:val="30"/>
          <w:highlight w:val="none"/>
          <w:lang w:val="en-US" w:eastAsia="zh-CN" w:bidi="ar-SA"/>
        </w:rPr>
      </w:pPr>
      <w:r>
        <w:rPr>
          <w:rFonts w:hint="eastAsia" w:ascii="宋体" w:hAnsi="宋体" w:cs="仿宋_GB2312"/>
          <w:color w:val="auto"/>
          <w:spacing w:val="0"/>
          <w:kern w:val="0"/>
          <w:sz w:val="30"/>
          <w:szCs w:val="30"/>
          <w:highlight w:val="none"/>
          <w:lang w:val="en-US" w:eastAsia="zh-CN" w:bidi="ar-SA"/>
        </w:rPr>
        <w:t>（四）</w:t>
      </w:r>
      <w:r>
        <w:rPr>
          <w:rFonts w:hint="eastAsia" w:ascii="宋体" w:hAnsi="宋体" w:eastAsia="仿宋_GB2312" w:cs="仿宋_GB2312"/>
          <w:color w:val="auto"/>
          <w:spacing w:val="0"/>
          <w:kern w:val="0"/>
          <w:sz w:val="30"/>
          <w:szCs w:val="30"/>
          <w:highlight w:val="none"/>
          <w:lang w:val="en-US" w:eastAsia="zh-CN" w:bidi="ar-SA"/>
        </w:rPr>
        <w:t>肉牛按所在地县</w:t>
      </w:r>
      <w:r>
        <w:rPr>
          <w:rFonts w:hint="eastAsia" w:ascii="宋体" w:hAnsi="宋体" w:cs="仿宋_GB2312"/>
          <w:color w:val="auto"/>
          <w:spacing w:val="0"/>
          <w:kern w:val="0"/>
          <w:sz w:val="30"/>
          <w:szCs w:val="30"/>
          <w:highlight w:val="none"/>
          <w:lang w:val="en-US" w:eastAsia="zh-CN" w:bidi="ar-SA"/>
        </w:rPr>
        <w:t>（市、区）</w:t>
      </w:r>
      <w:r>
        <w:rPr>
          <w:rFonts w:hint="eastAsia" w:ascii="宋体" w:hAnsi="宋体" w:eastAsia="仿宋_GB2312" w:cs="仿宋_GB2312"/>
          <w:color w:val="auto"/>
          <w:spacing w:val="0"/>
          <w:kern w:val="0"/>
          <w:sz w:val="30"/>
          <w:szCs w:val="30"/>
          <w:highlight w:val="none"/>
          <w:lang w:val="en-US" w:eastAsia="zh-CN" w:bidi="ar-SA"/>
        </w:rPr>
        <w:t>畜牧防疫部门审定的免疫程序接种并有记录，且具有能识别身份的统一标识。</w:t>
      </w:r>
    </w:p>
    <w:p w14:paraId="64A341A0">
      <w:pPr>
        <w:keepNext w:val="0"/>
        <w:keepLines w:val="0"/>
        <w:pageBreakBefore w:val="0"/>
        <w:widowControl w:val="0"/>
        <w:numPr>
          <w:ilvl w:val="0"/>
          <w:numId w:val="0"/>
        </w:numPr>
        <w:pBdr>
          <w:top w:val="none" w:color="auto" w:sz="0" w:space="0"/>
          <w:bottom w:val="none" w:color="auto" w:sz="0" w:space="0"/>
        </w:pBdr>
        <w:kinsoku/>
        <w:wordWrap/>
        <w:overflowPunct w:val="0"/>
        <w:topLinePunct w:val="0"/>
        <w:bidi w:val="0"/>
        <w:adjustRightInd/>
        <w:snapToGrid/>
        <w:spacing w:after="0" w:line="636" w:lineRule="exact"/>
        <w:ind w:right="0" w:firstLine="600" w:firstLineChars="200"/>
        <w:jc w:val="both"/>
        <w:textAlignment w:val="auto"/>
        <w:rPr>
          <w:rFonts w:hint="eastAsia" w:ascii="宋体" w:hAnsi="宋体" w:eastAsia="仿宋_GB2312" w:cs="仿宋_GB2312"/>
          <w:color w:val="auto"/>
          <w:spacing w:val="0"/>
          <w:kern w:val="0"/>
          <w:sz w:val="30"/>
          <w:szCs w:val="30"/>
          <w:highlight w:val="none"/>
          <w:lang w:val="en-US" w:eastAsia="zh-CN" w:bidi="ar-SA"/>
        </w:rPr>
      </w:pPr>
      <w:r>
        <w:rPr>
          <w:rFonts w:hint="eastAsia" w:ascii="宋体" w:hAnsi="宋体" w:eastAsia="仿宋_GB2312" w:cs="仿宋_GB2312"/>
          <w:color w:val="auto"/>
          <w:kern w:val="0"/>
          <w:sz w:val="30"/>
          <w:szCs w:val="30"/>
          <w:highlight w:val="none"/>
          <w:lang w:val="en-US" w:eastAsia="zh-CN"/>
        </w:rPr>
        <w:t>（五）同一保险标的不得同时投保肉牛养殖保险和肉牛养殖收入保险。</w:t>
      </w:r>
    </w:p>
    <w:p w14:paraId="5335DA24">
      <w:pPr>
        <w:pStyle w:val="2"/>
        <w:keepNext w:val="0"/>
        <w:keepLines w:val="0"/>
        <w:pageBreakBefore w:val="0"/>
        <w:widowControl w:val="0"/>
        <w:numPr>
          <w:ilvl w:val="0"/>
          <w:numId w:val="0"/>
        </w:numPr>
        <w:pBdr>
          <w:top w:val="none" w:color="auto" w:sz="0" w:space="0"/>
          <w:bottom w:val="none" w:color="auto" w:sz="0" w:space="0"/>
        </w:pBdr>
        <w:kinsoku/>
        <w:wordWrap/>
        <w:overflowPunct w:val="0"/>
        <w:topLinePunct w:val="0"/>
        <w:bidi w:val="0"/>
        <w:adjustRightInd/>
        <w:snapToGrid/>
        <w:spacing w:after="0" w:line="636" w:lineRule="exact"/>
        <w:ind w:right="0" w:firstLine="600" w:firstLineChars="200"/>
        <w:jc w:val="both"/>
        <w:textAlignment w:val="auto"/>
        <w:rPr>
          <w:rFonts w:hint="eastAsia" w:ascii="宋体" w:hAnsi="宋体" w:eastAsia="黑体" w:cs="黑体"/>
          <w:color w:val="auto"/>
          <w:kern w:val="0"/>
          <w:sz w:val="30"/>
          <w:szCs w:val="30"/>
          <w:lang w:val="en-US" w:eastAsia="zh-CN" w:bidi="ar-SA"/>
        </w:rPr>
      </w:pPr>
      <w:r>
        <w:rPr>
          <w:rFonts w:hint="eastAsia" w:ascii="宋体" w:hAnsi="宋体" w:eastAsia="黑体" w:cs="黑体"/>
          <w:color w:val="auto"/>
          <w:kern w:val="0"/>
          <w:sz w:val="30"/>
          <w:szCs w:val="30"/>
          <w:lang w:val="en-US" w:eastAsia="zh-CN" w:bidi="ar-SA"/>
        </w:rPr>
        <w:t>二、保障对象</w:t>
      </w:r>
    </w:p>
    <w:p w14:paraId="0C1AB86F">
      <w:pPr>
        <w:pStyle w:val="2"/>
        <w:keepNext w:val="0"/>
        <w:keepLines w:val="0"/>
        <w:pageBreakBefore w:val="0"/>
        <w:widowControl w:val="0"/>
        <w:numPr>
          <w:ilvl w:val="0"/>
          <w:numId w:val="0"/>
        </w:numPr>
        <w:pBdr>
          <w:top w:val="none" w:color="auto" w:sz="0" w:space="0"/>
          <w:bottom w:val="none" w:color="auto" w:sz="0" w:space="0"/>
        </w:pBdr>
        <w:kinsoku/>
        <w:wordWrap/>
        <w:overflowPunct w:val="0"/>
        <w:topLinePunct w:val="0"/>
        <w:bidi w:val="0"/>
        <w:adjustRightInd/>
        <w:snapToGrid/>
        <w:spacing w:after="0" w:line="636" w:lineRule="exact"/>
        <w:ind w:right="0" w:firstLine="600" w:firstLineChars="200"/>
        <w:jc w:val="both"/>
        <w:textAlignment w:val="auto"/>
        <w:rPr>
          <w:rFonts w:hint="eastAsia" w:ascii="宋体" w:hAnsi="宋体" w:eastAsia="仿宋_GB2312" w:cs="仿宋_GB2312"/>
          <w:color w:val="auto"/>
          <w:kern w:val="0"/>
          <w:sz w:val="30"/>
          <w:szCs w:val="30"/>
          <w:highlight w:val="none"/>
          <w:lang w:val="en-US" w:eastAsia="zh-CN" w:bidi="ar-SA"/>
        </w:rPr>
      </w:pPr>
      <w:r>
        <w:rPr>
          <w:rFonts w:hint="eastAsia" w:ascii="宋体" w:hAnsi="宋体" w:eastAsia="仿宋_GB2312" w:cs="仿宋_GB2312"/>
          <w:color w:val="auto"/>
          <w:kern w:val="0"/>
          <w:sz w:val="30"/>
          <w:szCs w:val="30"/>
          <w:highlight w:val="none"/>
          <w:lang w:val="en-US" w:eastAsia="zh-CN" w:bidi="ar-SA"/>
        </w:rPr>
        <w:t xml:space="preserve">有意愿投保的所有养殖企业、养殖场、养殖户。 </w:t>
      </w:r>
    </w:p>
    <w:p w14:paraId="5936DCEA">
      <w:pPr>
        <w:pStyle w:val="2"/>
        <w:keepNext w:val="0"/>
        <w:keepLines w:val="0"/>
        <w:pageBreakBefore w:val="0"/>
        <w:widowControl w:val="0"/>
        <w:numPr>
          <w:ilvl w:val="0"/>
          <w:numId w:val="0"/>
        </w:numPr>
        <w:pBdr>
          <w:top w:val="none" w:color="auto" w:sz="0" w:space="0"/>
          <w:bottom w:val="none" w:color="auto" w:sz="0" w:space="0"/>
        </w:pBdr>
        <w:kinsoku/>
        <w:wordWrap/>
        <w:overflowPunct w:val="0"/>
        <w:topLinePunct w:val="0"/>
        <w:bidi w:val="0"/>
        <w:adjustRightInd/>
        <w:snapToGrid/>
        <w:spacing w:after="0" w:line="636" w:lineRule="exact"/>
        <w:ind w:right="0" w:firstLine="600" w:firstLineChars="200"/>
        <w:jc w:val="both"/>
        <w:textAlignment w:val="auto"/>
        <w:rPr>
          <w:rFonts w:hint="eastAsia" w:ascii="宋体" w:hAnsi="宋体" w:eastAsia="黑体" w:cs="黑体"/>
          <w:color w:val="auto"/>
          <w:kern w:val="0"/>
          <w:sz w:val="30"/>
          <w:szCs w:val="30"/>
          <w:lang w:val="en-US" w:eastAsia="zh-CN" w:bidi="ar-SA"/>
        </w:rPr>
      </w:pPr>
      <w:r>
        <w:rPr>
          <w:rFonts w:hint="eastAsia" w:ascii="宋体" w:hAnsi="宋体" w:eastAsia="黑体" w:cs="黑体"/>
          <w:color w:val="auto"/>
          <w:kern w:val="0"/>
          <w:sz w:val="30"/>
          <w:szCs w:val="30"/>
          <w:lang w:val="en-US" w:eastAsia="zh-CN" w:bidi="ar-SA"/>
        </w:rPr>
        <w:t>三、保险责任</w:t>
      </w:r>
    </w:p>
    <w:p w14:paraId="0A7CB4D2">
      <w:pPr>
        <w:keepNext w:val="0"/>
        <w:keepLines w:val="0"/>
        <w:pageBreakBefore w:val="0"/>
        <w:widowControl w:val="0"/>
        <w:pBdr>
          <w:top w:val="none" w:color="auto" w:sz="0" w:space="0"/>
          <w:bottom w:val="none" w:color="auto" w:sz="0" w:space="0"/>
        </w:pBdr>
        <w:kinsoku/>
        <w:wordWrap/>
        <w:overflowPunct w:val="0"/>
        <w:topLinePunct w:val="0"/>
        <w:autoSpaceDE w:val="0"/>
        <w:autoSpaceDN w:val="0"/>
        <w:bidi w:val="0"/>
        <w:adjustRightInd/>
        <w:snapToGrid/>
        <w:spacing w:before="0" w:after="0" w:line="636" w:lineRule="exact"/>
        <w:ind w:left="0" w:right="0" w:firstLine="600" w:firstLineChars="200"/>
        <w:jc w:val="both"/>
        <w:textAlignment w:val="auto"/>
        <w:rPr>
          <w:rFonts w:hint="eastAsia" w:ascii="宋体" w:hAnsi="宋体"/>
          <w:sz w:val="30"/>
          <w:szCs w:val="30"/>
          <w:lang w:eastAsia="zh-CN"/>
        </w:rPr>
      </w:pPr>
      <w:r>
        <w:rPr>
          <w:rFonts w:hint="eastAsia" w:ascii="宋体" w:hAnsi="宋体" w:eastAsia="仿宋_GB2312" w:cs="仿宋_GB2312"/>
          <w:color w:val="auto"/>
          <w:spacing w:val="0"/>
          <w:kern w:val="0"/>
          <w:sz w:val="30"/>
          <w:szCs w:val="30"/>
          <w:highlight w:val="none"/>
          <w:lang w:eastAsia="zh-CN"/>
        </w:rPr>
        <w:t>肉牛养殖收入保险责任为人力无法抗拒的动物病害、自然灾害、意外事故、政府强制扑杀所导致投保标的直接死亡造成的损失以及理赔结算价格低于约定保险价格造成的价格损失，具体保险责任和免除责任见下表：</w:t>
      </w:r>
    </w:p>
    <w:p w14:paraId="2BCEC501">
      <w:pPr>
        <w:keepNext w:val="0"/>
        <w:keepLines w:val="0"/>
        <w:pageBreakBefore w:val="0"/>
        <w:widowControl w:val="0"/>
        <w:pBdr>
          <w:top w:val="none" w:color="auto" w:sz="0" w:space="0"/>
          <w:bottom w:val="none" w:color="auto" w:sz="0" w:space="0"/>
        </w:pBdr>
        <w:kinsoku/>
        <w:wordWrap/>
        <w:overflowPunct/>
        <w:topLinePunct w:val="0"/>
        <w:autoSpaceDE w:val="0"/>
        <w:autoSpaceDN w:val="0"/>
        <w:bidi w:val="0"/>
        <w:adjustRightInd/>
        <w:snapToGrid/>
        <w:spacing w:before="0" w:after="160" w:line="590" w:lineRule="exact"/>
        <w:ind w:left="0" w:right="0" w:firstLine="0"/>
        <w:jc w:val="center"/>
        <w:textAlignment w:val="auto"/>
        <w:rPr>
          <w:rFonts w:hint="eastAsia" w:ascii="宋体" w:hAnsi="宋体" w:eastAsia="黑体" w:cs="黑体"/>
          <w:kern w:val="0"/>
          <w:sz w:val="30"/>
          <w:szCs w:val="30"/>
          <w:lang w:eastAsia="en-US"/>
        </w:rPr>
      </w:pPr>
      <w:r>
        <w:rPr>
          <w:rFonts w:hint="eastAsia" w:ascii="宋体" w:hAnsi="宋体" w:eastAsia="黑体" w:cs="黑体"/>
          <w:kern w:val="0"/>
          <w:sz w:val="30"/>
          <w:szCs w:val="30"/>
          <w:lang w:eastAsia="zh-CN"/>
        </w:rPr>
        <w:br w:type="page"/>
      </w:r>
      <w:r>
        <w:rPr>
          <w:rFonts w:hint="eastAsia" w:ascii="宋体" w:hAnsi="宋体" w:eastAsia="黑体" w:cs="黑体"/>
          <w:kern w:val="0"/>
          <w:sz w:val="30"/>
          <w:szCs w:val="30"/>
          <w:lang w:eastAsia="zh-CN"/>
        </w:rPr>
        <w:t>云南省</w:t>
      </w:r>
      <w:r>
        <w:rPr>
          <w:rFonts w:hint="eastAsia" w:ascii="宋体" w:hAnsi="宋体" w:eastAsia="黑体" w:cs="黑体"/>
          <w:spacing w:val="-1"/>
          <w:kern w:val="0"/>
          <w:sz w:val="30"/>
          <w:szCs w:val="30"/>
          <w:lang w:eastAsia="en-US"/>
        </w:rPr>
        <w:t>财政补贴肉牛</w:t>
      </w:r>
      <w:r>
        <w:rPr>
          <w:rFonts w:hint="eastAsia" w:ascii="宋体" w:hAnsi="宋体" w:eastAsia="黑体" w:cs="黑体"/>
          <w:spacing w:val="-1"/>
          <w:kern w:val="0"/>
          <w:sz w:val="30"/>
          <w:szCs w:val="30"/>
          <w:lang w:eastAsia="zh-CN"/>
        </w:rPr>
        <w:t>养殖收入</w:t>
      </w:r>
      <w:r>
        <w:rPr>
          <w:rFonts w:hint="eastAsia" w:ascii="宋体" w:hAnsi="宋体" w:eastAsia="黑体" w:cs="黑体"/>
          <w:spacing w:val="-1"/>
          <w:kern w:val="0"/>
          <w:sz w:val="30"/>
          <w:szCs w:val="30"/>
          <w:lang w:eastAsia="en-US"/>
        </w:rPr>
        <w:t>保险责任和免除</w:t>
      </w:r>
    </w:p>
    <w:tbl>
      <w:tblPr>
        <w:tblStyle w:val="3"/>
        <w:tblW w:w="83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0"/>
        <w:gridCol w:w="7500"/>
      </w:tblGrid>
      <w:tr w14:paraId="07E563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82" w:hRule="atLeast"/>
          <w:jc w:val="center"/>
        </w:trPr>
        <w:tc>
          <w:tcPr>
            <w:tcW w:w="830" w:type="dxa"/>
            <w:tcBorders>
              <w:top w:val="single" w:color="auto" w:sz="4" w:space="0"/>
              <w:left w:val="single" w:color="auto" w:sz="4" w:space="0"/>
              <w:bottom w:val="single" w:color="auto" w:sz="4" w:space="0"/>
              <w:right w:val="single" w:color="auto" w:sz="4" w:space="0"/>
            </w:tcBorders>
            <w:noWrap w:val="0"/>
            <w:vAlign w:val="center"/>
          </w:tcPr>
          <w:p w14:paraId="1A020F86">
            <w:pPr>
              <w:keepNext w:val="0"/>
              <w:keepLines w:val="0"/>
              <w:pageBreakBefore w:val="0"/>
              <w:widowControl w:val="0"/>
              <w:numPr>
                <w:ilvl w:val="0"/>
                <w:numId w:val="0"/>
              </w:numPr>
              <w:pBdr>
                <w:top w:val="none" w:color="auto" w:sz="0" w:space="0"/>
                <w:bottom w:val="none" w:color="auto" w:sz="0" w:space="0"/>
              </w:pBdr>
              <w:kinsoku/>
              <w:wordWrap/>
              <w:overflowPunct/>
              <w:topLinePunct w:val="0"/>
              <w:autoSpaceDE/>
              <w:autoSpaceDN/>
              <w:bidi w:val="0"/>
              <w:adjustRightInd/>
              <w:snapToGrid/>
              <w:spacing w:after="0" w:line="440" w:lineRule="exact"/>
              <w:ind w:firstLine="0" w:firstLineChars="0"/>
              <w:jc w:val="center"/>
              <w:textAlignment w:val="auto"/>
              <w:rPr>
                <w:rFonts w:hint="eastAsia" w:ascii="宋体" w:hAnsi="宋体" w:eastAsia="黑体" w:cs="黑体"/>
                <w:color w:val="auto"/>
                <w:sz w:val="24"/>
                <w:szCs w:val="24"/>
                <w:lang w:val="en-US" w:eastAsia="en-US"/>
              </w:rPr>
            </w:pPr>
            <w:r>
              <w:rPr>
                <w:rFonts w:hint="eastAsia" w:ascii="宋体" w:hAnsi="宋体" w:eastAsia="黑体" w:cs="黑体"/>
                <w:color w:val="auto"/>
                <w:sz w:val="24"/>
                <w:szCs w:val="24"/>
                <w:lang w:val="en-US" w:eastAsia="en-US"/>
              </w:rPr>
              <w:t>险种</w:t>
            </w:r>
          </w:p>
        </w:tc>
        <w:tc>
          <w:tcPr>
            <w:tcW w:w="7500" w:type="dxa"/>
            <w:tcBorders>
              <w:top w:val="single" w:color="auto" w:sz="4" w:space="0"/>
              <w:left w:val="single" w:color="auto" w:sz="4" w:space="0"/>
              <w:bottom w:val="single" w:color="auto" w:sz="4" w:space="0"/>
              <w:right w:val="single" w:color="auto" w:sz="4" w:space="0"/>
            </w:tcBorders>
            <w:noWrap w:val="0"/>
            <w:vAlign w:val="center"/>
          </w:tcPr>
          <w:p w14:paraId="5BBB0FD6">
            <w:pPr>
              <w:keepNext w:val="0"/>
              <w:keepLines w:val="0"/>
              <w:pageBreakBefore w:val="0"/>
              <w:widowControl w:val="0"/>
              <w:numPr>
                <w:ilvl w:val="0"/>
                <w:numId w:val="0"/>
              </w:numPr>
              <w:pBdr>
                <w:top w:val="none" w:color="auto" w:sz="0" w:space="0"/>
                <w:bottom w:val="none" w:color="auto" w:sz="0" w:space="0"/>
              </w:pBdr>
              <w:kinsoku/>
              <w:wordWrap/>
              <w:overflowPunct/>
              <w:topLinePunct w:val="0"/>
              <w:autoSpaceDE/>
              <w:autoSpaceDN/>
              <w:bidi w:val="0"/>
              <w:adjustRightInd/>
              <w:snapToGrid/>
              <w:spacing w:after="0" w:line="440" w:lineRule="exact"/>
              <w:ind w:firstLine="0" w:firstLineChars="0"/>
              <w:jc w:val="center"/>
              <w:textAlignment w:val="auto"/>
              <w:rPr>
                <w:rFonts w:hint="eastAsia" w:ascii="宋体" w:hAnsi="宋体" w:eastAsia="黑体" w:cs="黑体"/>
                <w:color w:val="auto"/>
                <w:sz w:val="24"/>
                <w:szCs w:val="24"/>
                <w:lang w:val="en-US" w:eastAsia="en-US"/>
              </w:rPr>
            </w:pPr>
            <w:r>
              <w:rPr>
                <w:rFonts w:hint="eastAsia" w:ascii="宋体" w:hAnsi="宋体" w:eastAsia="黑体" w:cs="黑体"/>
                <w:color w:val="auto"/>
                <w:sz w:val="24"/>
                <w:szCs w:val="24"/>
                <w:lang w:val="en-US" w:eastAsia="en-US"/>
              </w:rPr>
              <w:t>保险责任</w:t>
            </w:r>
          </w:p>
        </w:tc>
      </w:tr>
      <w:tr w14:paraId="78C587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30" w:type="dxa"/>
            <w:tcBorders>
              <w:top w:val="single" w:color="auto" w:sz="4" w:space="0"/>
              <w:left w:val="single" w:color="auto" w:sz="4" w:space="0"/>
              <w:bottom w:val="single" w:color="auto" w:sz="4" w:space="0"/>
              <w:right w:val="single" w:color="auto" w:sz="4" w:space="0"/>
            </w:tcBorders>
            <w:noWrap w:val="0"/>
            <w:vAlign w:val="center"/>
          </w:tcPr>
          <w:p w14:paraId="023F48B5">
            <w:pPr>
              <w:keepNext w:val="0"/>
              <w:keepLines w:val="0"/>
              <w:pageBreakBefore w:val="0"/>
              <w:widowControl w:val="0"/>
              <w:numPr>
                <w:ilvl w:val="0"/>
                <w:numId w:val="0"/>
              </w:numPr>
              <w:pBdr>
                <w:top w:val="none" w:color="auto" w:sz="0" w:space="0"/>
                <w:bottom w:val="none" w:color="auto" w:sz="0" w:space="0"/>
              </w:pBdr>
              <w:kinsoku/>
              <w:wordWrap/>
              <w:overflowPunct/>
              <w:topLinePunct w:val="0"/>
              <w:autoSpaceDE/>
              <w:autoSpaceDN/>
              <w:bidi w:val="0"/>
              <w:adjustRightInd/>
              <w:snapToGrid/>
              <w:spacing w:after="0" w:line="440" w:lineRule="exact"/>
              <w:ind w:firstLine="0" w:firstLineChars="0"/>
              <w:jc w:val="center"/>
              <w:textAlignment w:val="auto"/>
              <w:rPr>
                <w:rFonts w:hint="eastAsia" w:ascii="宋体" w:hAnsi="宋体" w:eastAsia="仿宋_GB2312" w:cs="仿宋_GB2312"/>
                <w:color w:val="auto"/>
                <w:sz w:val="24"/>
                <w:szCs w:val="24"/>
                <w:lang w:val="en-US" w:eastAsia="zh-CN"/>
              </w:rPr>
            </w:pPr>
            <w:r>
              <w:rPr>
                <w:rFonts w:hint="eastAsia" w:ascii="宋体" w:hAnsi="宋体" w:eastAsia="仿宋_GB2312" w:cs="仿宋_GB2312"/>
                <w:color w:val="auto"/>
                <w:sz w:val="24"/>
                <w:szCs w:val="24"/>
                <w:lang w:val="en-US" w:eastAsia="en-US"/>
              </w:rPr>
              <w:t>肉牛</w:t>
            </w:r>
            <w:r>
              <w:rPr>
                <w:rFonts w:hint="eastAsia" w:ascii="宋体" w:hAnsi="宋体" w:eastAsia="仿宋_GB2312" w:cs="仿宋_GB2312"/>
                <w:color w:val="auto"/>
                <w:sz w:val="24"/>
                <w:szCs w:val="24"/>
                <w:lang w:val="en-US" w:eastAsia="zh-CN"/>
              </w:rPr>
              <w:t>养殖收入</w:t>
            </w:r>
          </w:p>
        </w:tc>
        <w:tc>
          <w:tcPr>
            <w:tcW w:w="7500" w:type="dxa"/>
            <w:tcBorders>
              <w:top w:val="single" w:color="auto" w:sz="4" w:space="0"/>
              <w:left w:val="single" w:color="auto" w:sz="4" w:space="0"/>
              <w:bottom w:val="single" w:color="auto" w:sz="4" w:space="0"/>
              <w:right w:val="single" w:color="auto" w:sz="4" w:space="0"/>
            </w:tcBorders>
            <w:noWrap w:val="0"/>
            <w:vAlign w:val="center"/>
          </w:tcPr>
          <w:p w14:paraId="271785DF">
            <w:pPr>
              <w:keepNext w:val="0"/>
              <w:keepLines w:val="0"/>
              <w:pageBreakBefore w:val="0"/>
              <w:widowControl w:val="0"/>
              <w:numPr>
                <w:ilvl w:val="0"/>
                <w:numId w:val="0"/>
              </w:numPr>
              <w:pBdr>
                <w:top w:val="none" w:color="auto" w:sz="0" w:space="0"/>
                <w:bottom w:val="none" w:color="auto" w:sz="0" w:space="0"/>
              </w:pBdr>
              <w:kinsoku/>
              <w:wordWrap/>
              <w:overflowPunct/>
              <w:topLinePunct w:val="0"/>
              <w:autoSpaceDE/>
              <w:autoSpaceDN/>
              <w:bidi w:val="0"/>
              <w:adjustRightInd/>
              <w:snapToGrid/>
              <w:spacing w:after="0" w:line="440" w:lineRule="exact"/>
              <w:ind w:firstLine="0" w:firstLineChars="0"/>
              <w:jc w:val="both"/>
              <w:textAlignment w:val="auto"/>
              <w:rPr>
                <w:rFonts w:hint="eastAsia" w:ascii="宋体" w:hAnsi="宋体" w:eastAsia="仿宋_GB2312" w:cs="仿宋_GB2312"/>
                <w:color w:val="auto"/>
                <w:sz w:val="24"/>
                <w:szCs w:val="24"/>
                <w:lang w:val="en-US" w:eastAsia="en-US"/>
              </w:rPr>
            </w:pPr>
            <w:r>
              <w:rPr>
                <w:rFonts w:hint="eastAsia" w:ascii="宋体" w:hAnsi="宋体" w:eastAsia="仿宋_GB2312" w:cs="仿宋_GB2312"/>
                <w:color w:val="auto"/>
                <w:sz w:val="24"/>
                <w:szCs w:val="24"/>
                <w:lang w:val="en-US" w:eastAsia="zh-CN"/>
              </w:rPr>
              <w:t>1.</w:t>
            </w:r>
            <w:r>
              <w:rPr>
                <w:rFonts w:hint="eastAsia" w:ascii="宋体" w:hAnsi="宋体" w:eastAsia="仿宋_GB2312" w:cs="仿宋_GB2312"/>
                <w:color w:val="auto"/>
                <w:sz w:val="24"/>
                <w:szCs w:val="24"/>
                <w:lang w:val="en-US" w:eastAsia="en-US"/>
              </w:rPr>
              <w:t>因口蹄疫、布鲁氏菌病、牛结核病、牛焦虫病、</w:t>
            </w:r>
            <w:r>
              <w:rPr>
                <w:rFonts w:hint="eastAsia" w:ascii="宋体" w:hAnsi="宋体" w:eastAsia="仿宋_GB2312" w:cs="仿宋_GB2312"/>
                <w:color w:val="auto"/>
                <w:sz w:val="24"/>
                <w:szCs w:val="24"/>
                <w:lang w:val="en-US" w:eastAsia="zh-CN"/>
              </w:rPr>
              <w:t>炭疽</w:t>
            </w:r>
            <w:r>
              <w:rPr>
                <w:rFonts w:hint="eastAsia" w:ascii="宋体" w:hAnsi="宋体" w:eastAsia="仿宋_GB2312" w:cs="仿宋_GB2312"/>
                <w:color w:val="auto"/>
                <w:sz w:val="24"/>
                <w:szCs w:val="24"/>
                <w:lang w:val="en-US" w:eastAsia="en-US"/>
              </w:rPr>
              <w:t>、伪狂犬病、副结核病、牛传染性鼻气管炎、牛出血性败血症、日本血吸虫病等动物疾病所导致的投保个体直接死亡。</w:t>
            </w:r>
            <w:r>
              <w:rPr>
                <w:rFonts w:hint="eastAsia" w:ascii="宋体" w:hAnsi="宋体" w:eastAsia="仿宋_GB2312" w:cs="仿宋_GB2312"/>
                <w:color w:val="auto"/>
                <w:sz w:val="24"/>
                <w:szCs w:val="24"/>
                <w:lang w:val="en-US" w:eastAsia="en-US"/>
              </w:rPr>
              <w:br w:type="textWrapping"/>
            </w:r>
            <w:r>
              <w:rPr>
                <w:rFonts w:hint="eastAsia" w:ascii="宋体" w:hAnsi="宋体" w:eastAsia="仿宋_GB2312" w:cs="仿宋_GB2312"/>
                <w:color w:val="auto"/>
                <w:sz w:val="24"/>
                <w:szCs w:val="24"/>
                <w:lang w:val="en-US" w:eastAsia="en-US"/>
              </w:rPr>
              <w:t>2.因火灾、爆炸、暴雨、洪水（政府行蓄洪除外）、风灾、雷击、冰雹、冻灾、泥石流、山体滑坡、地震等自然灾害所导致的投保个体直接死亡。</w:t>
            </w:r>
            <w:r>
              <w:rPr>
                <w:rFonts w:hint="eastAsia" w:ascii="宋体" w:hAnsi="宋体" w:eastAsia="仿宋_GB2312" w:cs="仿宋_GB2312"/>
                <w:color w:val="auto"/>
                <w:sz w:val="24"/>
                <w:szCs w:val="24"/>
                <w:lang w:val="en-US" w:eastAsia="en-US"/>
              </w:rPr>
              <w:br w:type="textWrapping"/>
            </w:r>
            <w:r>
              <w:rPr>
                <w:rFonts w:hint="eastAsia" w:ascii="宋体" w:hAnsi="宋体" w:eastAsia="仿宋_GB2312" w:cs="仿宋_GB2312"/>
                <w:color w:val="auto"/>
                <w:sz w:val="24"/>
                <w:szCs w:val="24"/>
                <w:lang w:val="en-US" w:eastAsia="en-US"/>
              </w:rPr>
              <w:t>3.因建筑物倒塌、空中运行物体坠落；难产、意外坠崖等意外事故以及强制扑杀所导致的投保个体直接死亡。</w:t>
            </w:r>
            <w:r>
              <w:rPr>
                <w:rFonts w:hint="eastAsia" w:ascii="宋体" w:hAnsi="宋体" w:eastAsia="仿宋_GB2312" w:cs="仿宋_GB2312"/>
                <w:color w:val="auto"/>
                <w:sz w:val="24"/>
                <w:szCs w:val="24"/>
                <w:lang w:val="en-US" w:eastAsia="en-US"/>
              </w:rPr>
              <w:br w:type="textWrapping"/>
            </w:r>
            <w:r>
              <w:rPr>
                <w:rFonts w:hint="eastAsia" w:ascii="宋体" w:hAnsi="宋体" w:eastAsia="仿宋_GB2312" w:cs="仿宋_GB2312"/>
                <w:color w:val="auto"/>
                <w:sz w:val="24"/>
                <w:szCs w:val="24"/>
                <w:lang w:val="en-US" w:eastAsia="en-US"/>
              </w:rPr>
              <w:t>4.强制扑杀导致保险标的死亡，赔偿金额以保险金额扣减政府扑杀补贴金额为限。</w:t>
            </w:r>
          </w:p>
          <w:p w14:paraId="6226E5B0">
            <w:pPr>
              <w:keepNext w:val="0"/>
              <w:keepLines w:val="0"/>
              <w:pageBreakBefore w:val="0"/>
              <w:widowControl w:val="0"/>
              <w:numPr>
                <w:ilvl w:val="0"/>
                <w:numId w:val="0"/>
              </w:numPr>
              <w:pBdr>
                <w:top w:val="none" w:color="auto" w:sz="0" w:space="0"/>
                <w:bottom w:val="none" w:color="auto" w:sz="0" w:space="0"/>
              </w:pBdr>
              <w:kinsoku/>
              <w:wordWrap/>
              <w:overflowPunct/>
              <w:topLinePunct w:val="0"/>
              <w:autoSpaceDE/>
              <w:autoSpaceDN/>
              <w:bidi w:val="0"/>
              <w:adjustRightInd/>
              <w:snapToGrid/>
              <w:spacing w:after="0" w:line="440" w:lineRule="exact"/>
              <w:ind w:firstLine="0" w:firstLineChars="0"/>
              <w:jc w:val="both"/>
              <w:textAlignment w:val="auto"/>
              <w:rPr>
                <w:rFonts w:hint="default" w:ascii="宋体" w:hAnsi="宋体" w:eastAsia="仿宋_GB2312" w:cs="仿宋_GB2312"/>
                <w:color w:val="auto"/>
                <w:sz w:val="24"/>
                <w:szCs w:val="24"/>
                <w:lang w:val="en-US" w:eastAsia="zh-CN"/>
              </w:rPr>
            </w:pPr>
            <w:r>
              <w:rPr>
                <w:rFonts w:hint="eastAsia" w:ascii="宋体" w:hAnsi="宋体" w:eastAsia="仿宋_GB2312" w:cs="仿宋_GB2312"/>
                <w:color w:val="auto"/>
                <w:sz w:val="24"/>
                <w:szCs w:val="24"/>
                <w:lang w:val="en-US" w:eastAsia="zh-CN"/>
              </w:rPr>
              <w:t>5.价格损失，即理赔结算价格低于约定保险价格。</w:t>
            </w:r>
          </w:p>
        </w:tc>
      </w:tr>
      <w:tr w14:paraId="77B9E6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3" w:hRule="atLeast"/>
          <w:jc w:val="center"/>
        </w:trPr>
        <w:tc>
          <w:tcPr>
            <w:tcW w:w="830" w:type="dxa"/>
            <w:tcBorders>
              <w:top w:val="single" w:color="auto" w:sz="4" w:space="0"/>
              <w:left w:val="single" w:color="auto" w:sz="4" w:space="0"/>
              <w:bottom w:val="single" w:color="auto" w:sz="4" w:space="0"/>
              <w:right w:val="single" w:color="auto" w:sz="4" w:space="0"/>
            </w:tcBorders>
            <w:noWrap w:val="0"/>
            <w:vAlign w:val="top"/>
          </w:tcPr>
          <w:p w14:paraId="1946CABA">
            <w:pPr>
              <w:keepNext w:val="0"/>
              <w:keepLines w:val="0"/>
              <w:pageBreakBefore w:val="0"/>
              <w:widowControl w:val="0"/>
              <w:numPr>
                <w:ilvl w:val="0"/>
                <w:numId w:val="0"/>
              </w:numPr>
              <w:pBdr>
                <w:top w:val="none" w:color="auto" w:sz="0" w:space="0"/>
                <w:bottom w:val="none" w:color="auto" w:sz="0" w:space="0"/>
              </w:pBdr>
              <w:kinsoku/>
              <w:wordWrap/>
              <w:overflowPunct/>
              <w:topLinePunct w:val="0"/>
              <w:autoSpaceDE/>
              <w:autoSpaceDN/>
              <w:bidi w:val="0"/>
              <w:adjustRightInd/>
              <w:snapToGrid/>
              <w:spacing w:after="0" w:line="440" w:lineRule="exact"/>
              <w:ind w:firstLine="0" w:firstLineChars="0"/>
              <w:jc w:val="center"/>
              <w:textAlignment w:val="auto"/>
              <w:rPr>
                <w:rFonts w:hint="eastAsia" w:ascii="宋体" w:hAnsi="宋体" w:eastAsia="仿宋_GB2312" w:cs="仿宋_GB2312"/>
                <w:color w:val="auto"/>
                <w:sz w:val="24"/>
                <w:szCs w:val="24"/>
                <w:lang w:val="en-US" w:eastAsia="en-US"/>
              </w:rPr>
            </w:pPr>
          </w:p>
        </w:tc>
        <w:tc>
          <w:tcPr>
            <w:tcW w:w="7500" w:type="dxa"/>
            <w:tcBorders>
              <w:top w:val="single" w:color="auto" w:sz="4" w:space="0"/>
              <w:left w:val="single" w:color="auto" w:sz="4" w:space="0"/>
              <w:bottom w:val="single" w:color="auto" w:sz="4" w:space="0"/>
              <w:right w:val="single" w:color="auto" w:sz="4" w:space="0"/>
            </w:tcBorders>
            <w:noWrap w:val="0"/>
            <w:vAlign w:val="center"/>
          </w:tcPr>
          <w:p w14:paraId="41E562DA">
            <w:pPr>
              <w:keepNext w:val="0"/>
              <w:keepLines w:val="0"/>
              <w:pageBreakBefore w:val="0"/>
              <w:widowControl w:val="0"/>
              <w:numPr>
                <w:ilvl w:val="0"/>
                <w:numId w:val="0"/>
              </w:numPr>
              <w:pBdr>
                <w:top w:val="none" w:color="auto" w:sz="0" w:space="0"/>
                <w:bottom w:val="none" w:color="auto" w:sz="0" w:space="0"/>
              </w:pBdr>
              <w:kinsoku/>
              <w:wordWrap/>
              <w:overflowPunct/>
              <w:topLinePunct w:val="0"/>
              <w:autoSpaceDE/>
              <w:autoSpaceDN/>
              <w:bidi w:val="0"/>
              <w:adjustRightInd/>
              <w:snapToGrid/>
              <w:spacing w:after="0" w:line="440" w:lineRule="exact"/>
              <w:ind w:firstLine="0" w:firstLineChars="0"/>
              <w:jc w:val="both"/>
              <w:textAlignment w:val="auto"/>
              <w:rPr>
                <w:rFonts w:hint="eastAsia" w:ascii="宋体" w:hAnsi="宋体" w:eastAsia="仿宋_GB2312" w:cs="仿宋_GB2312"/>
                <w:color w:val="auto"/>
                <w:sz w:val="24"/>
                <w:szCs w:val="24"/>
                <w:lang w:val="en-US" w:eastAsia="en-US"/>
              </w:rPr>
            </w:pPr>
            <w:r>
              <w:rPr>
                <w:rFonts w:hint="eastAsia" w:ascii="宋体" w:hAnsi="宋体" w:eastAsia="仿宋_GB2312" w:cs="仿宋_GB2312"/>
                <w:color w:val="auto"/>
                <w:sz w:val="24"/>
                <w:szCs w:val="24"/>
                <w:lang w:val="en-US" w:eastAsia="en-US"/>
              </w:rPr>
              <w:t>保险责任免除</w:t>
            </w:r>
          </w:p>
        </w:tc>
      </w:tr>
      <w:tr w14:paraId="068445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0" w:hRule="atLeast"/>
          <w:jc w:val="center"/>
        </w:trPr>
        <w:tc>
          <w:tcPr>
            <w:tcW w:w="830" w:type="dxa"/>
            <w:tcBorders>
              <w:top w:val="single" w:color="auto" w:sz="4" w:space="0"/>
              <w:left w:val="single" w:color="auto" w:sz="4" w:space="0"/>
              <w:bottom w:val="single" w:color="auto" w:sz="4" w:space="0"/>
              <w:right w:val="single" w:color="auto" w:sz="4" w:space="0"/>
            </w:tcBorders>
            <w:noWrap w:val="0"/>
            <w:vAlign w:val="center"/>
          </w:tcPr>
          <w:p w14:paraId="0FBF807F">
            <w:pPr>
              <w:keepNext w:val="0"/>
              <w:keepLines w:val="0"/>
              <w:pageBreakBefore w:val="0"/>
              <w:widowControl w:val="0"/>
              <w:numPr>
                <w:ilvl w:val="0"/>
                <w:numId w:val="0"/>
              </w:numPr>
              <w:pBdr>
                <w:top w:val="none" w:color="auto" w:sz="0" w:space="0"/>
                <w:bottom w:val="none" w:color="auto" w:sz="0" w:space="0"/>
              </w:pBdr>
              <w:kinsoku/>
              <w:wordWrap/>
              <w:overflowPunct/>
              <w:topLinePunct w:val="0"/>
              <w:autoSpaceDE/>
              <w:autoSpaceDN/>
              <w:bidi w:val="0"/>
              <w:adjustRightInd/>
              <w:snapToGrid/>
              <w:spacing w:after="0" w:line="440" w:lineRule="exact"/>
              <w:ind w:firstLine="0" w:firstLineChars="0"/>
              <w:jc w:val="center"/>
              <w:textAlignment w:val="auto"/>
              <w:rPr>
                <w:rFonts w:hint="eastAsia" w:ascii="宋体" w:hAnsi="宋体" w:eastAsia="仿宋_GB2312" w:cs="仿宋_GB2312"/>
                <w:color w:val="auto"/>
                <w:sz w:val="24"/>
                <w:szCs w:val="24"/>
                <w:lang w:val="en-US" w:eastAsia="zh-CN"/>
              </w:rPr>
            </w:pPr>
            <w:r>
              <w:rPr>
                <w:rFonts w:hint="eastAsia" w:ascii="宋体" w:hAnsi="宋体" w:eastAsia="仿宋_GB2312" w:cs="仿宋_GB2312"/>
                <w:color w:val="auto"/>
                <w:sz w:val="24"/>
                <w:szCs w:val="24"/>
                <w:lang w:val="en-US" w:eastAsia="en-US"/>
              </w:rPr>
              <w:t>肉牛</w:t>
            </w:r>
            <w:r>
              <w:rPr>
                <w:rFonts w:hint="eastAsia" w:ascii="宋体" w:hAnsi="宋体" w:eastAsia="仿宋_GB2312" w:cs="仿宋_GB2312"/>
                <w:color w:val="auto"/>
                <w:sz w:val="24"/>
                <w:szCs w:val="24"/>
                <w:lang w:val="en-US" w:eastAsia="zh-CN"/>
              </w:rPr>
              <w:t>养殖收入</w:t>
            </w:r>
          </w:p>
        </w:tc>
        <w:tc>
          <w:tcPr>
            <w:tcW w:w="7500" w:type="dxa"/>
            <w:tcBorders>
              <w:top w:val="single" w:color="auto" w:sz="4" w:space="0"/>
              <w:left w:val="single" w:color="auto" w:sz="4" w:space="0"/>
              <w:bottom w:val="single" w:color="auto" w:sz="4" w:space="0"/>
              <w:right w:val="single" w:color="auto" w:sz="4" w:space="0"/>
            </w:tcBorders>
            <w:noWrap w:val="0"/>
            <w:vAlign w:val="center"/>
          </w:tcPr>
          <w:p w14:paraId="05F92835">
            <w:pPr>
              <w:keepNext w:val="0"/>
              <w:keepLines w:val="0"/>
              <w:pageBreakBefore w:val="0"/>
              <w:widowControl w:val="0"/>
              <w:numPr>
                <w:ilvl w:val="0"/>
                <w:numId w:val="0"/>
              </w:numPr>
              <w:pBdr>
                <w:top w:val="none" w:color="auto" w:sz="0" w:space="0"/>
                <w:bottom w:val="none" w:color="auto" w:sz="0" w:space="0"/>
              </w:pBdr>
              <w:kinsoku/>
              <w:wordWrap/>
              <w:overflowPunct/>
              <w:topLinePunct w:val="0"/>
              <w:autoSpaceDE/>
              <w:autoSpaceDN/>
              <w:bidi w:val="0"/>
              <w:adjustRightInd/>
              <w:snapToGrid/>
              <w:spacing w:after="0" w:line="440" w:lineRule="exact"/>
              <w:ind w:firstLine="0" w:firstLineChars="0"/>
              <w:jc w:val="both"/>
              <w:textAlignment w:val="auto"/>
              <w:rPr>
                <w:rFonts w:hint="eastAsia" w:ascii="宋体" w:hAnsi="宋体" w:eastAsia="仿宋_GB2312" w:cs="仿宋_GB2312"/>
                <w:color w:val="auto"/>
                <w:sz w:val="24"/>
                <w:szCs w:val="24"/>
                <w:lang w:val="en-US" w:eastAsia="en-US"/>
              </w:rPr>
            </w:pPr>
            <w:r>
              <w:rPr>
                <w:rFonts w:hint="eastAsia" w:ascii="宋体" w:hAnsi="宋体" w:eastAsia="仿宋_GB2312" w:cs="仿宋_GB2312"/>
                <w:color w:val="auto"/>
                <w:sz w:val="24"/>
                <w:szCs w:val="24"/>
                <w:lang w:val="en-US" w:eastAsia="zh-CN"/>
              </w:rPr>
              <w:t>1.</w:t>
            </w:r>
            <w:r>
              <w:rPr>
                <w:rFonts w:hint="eastAsia" w:ascii="宋体" w:hAnsi="宋体" w:eastAsia="仿宋_GB2312" w:cs="仿宋_GB2312"/>
                <w:color w:val="auto"/>
                <w:sz w:val="24"/>
                <w:szCs w:val="24"/>
                <w:lang w:val="en-US" w:eastAsia="en-US"/>
              </w:rPr>
              <w:t>投保人及其家庭成员、被保险人及其家庭成员、投保人或被保险人雇用人员的故意行为，因管理不善导致被盗、走失、饿死、互斗、淹溺。</w:t>
            </w:r>
            <w:r>
              <w:rPr>
                <w:rFonts w:hint="eastAsia" w:ascii="宋体" w:hAnsi="宋体" w:eastAsia="仿宋_GB2312" w:cs="仿宋_GB2312"/>
                <w:color w:val="auto"/>
                <w:sz w:val="24"/>
                <w:szCs w:val="24"/>
                <w:lang w:val="en-US" w:eastAsia="en-US"/>
              </w:rPr>
              <w:br w:type="textWrapping"/>
            </w:r>
            <w:r>
              <w:rPr>
                <w:rFonts w:hint="eastAsia" w:ascii="宋体" w:hAnsi="宋体" w:eastAsia="仿宋_GB2312" w:cs="仿宋_GB2312"/>
                <w:color w:val="auto"/>
                <w:sz w:val="24"/>
                <w:szCs w:val="24"/>
                <w:lang w:val="en-US" w:eastAsia="en-US"/>
              </w:rPr>
              <w:t>2.保险肉牛在疾病观察期内患有保险责任范围内的疾病及在运输途中的死亡。</w:t>
            </w:r>
            <w:r>
              <w:rPr>
                <w:rFonts w:hint="eastAsia" w:ascii="宋体" w:hAnsi="宋体" w:eastAsia="仿宋_GB2312" w:cs="仿宋_GB2312"/>
                <w:color w:val="auto"/>
                <w:sz w:val="24"/>
                <w:szCs w:val="24"/>
                <w:lang w:val="en-US" w:eastAsia="en-US"/>
              </w:rPr>
              <w:br w:type="textWrapping"/>
            </w:r>
            <w:r>
              <w:rPr>
                <w:rFonts w:hint="eastAsia" w:ascii="宋体" w:hAnsi="宋体" w:eastAsia="仿宋_GB2312" w:cs="仿宋_GB2312"/>
                <w:color w:val="auto"/>
                <w:sz w:val="24"/>
                <w:szCs w:val="24"/>
                <w:lang w:val="en-US" w:eastAsia="en-US"/>
              </w:rPr>
              <w:t>3.保险肉牛未按免疫程序接种或违反防疫规定接种、发病后不及时治疗所导致的肉牛死亡、未按照国家有关规定进行无害化处理。</w:t>
            </w:r>
            <w:r>
              <w:rPr>
                <w:rFonts w:hint="eastAsia" w:ascii="宋体" w:hAnsi="宋体" w:eastAsia="仿宋_GB2312" w:cs="仿宋_GB2312"/>
                <w:color w:val="auto"/>
                <w:sz w:val="24"/>
                <w:szCs w:val="24"/>
                <w:lang w:val="en-US" w:eastAsia="en-US"/>
              </w:rPr>
              <w:br w:type="textWrapping"/>
            </w:r>
            <w:r>
              <w:rPr>
                <w:rFonts w:hint="eastAsia" w:ascii="宋体" w:hAnsi="宋体" w:eastAsia="仿宋_GB2312" w:cs="仿宋_GB2312"/>
                <w:color w:val="auto"/>
                <w:sz w:val="24"/>
                <w:szCs w:val="24"/>
                <w:lang w:val="en-US" w:eastAsia="en-US"/>
              </w:rPr>
              <w:t>4.发生保险责任范围内损失后，投保人、被保险人自行处理保险肉牛或无专业技术部门确诊死亡的。</w:t>
            </w:r>
            <w:r>
              <w:rPr>
                <w:rFonts w:hint="eastAsia" w:ascii="宋体" w:hAnsi="宋体" w:eastAsia="仿宋_GB2312" w:cs="仿宋_GB2312"/>
                <w:color w:val="auto"/>
                <w:sz w:val="24"/>
                <w:szCs w:val="24"/>
                <w:lang w:val="en-US" w:eastAsia="en-US"/>
              </w:rPr>
              <w:br w:type="textWrapping"/>
            </w:r>
            <w:r>
              <w:rPr>
                <w:rFonts w:hint="eastAsia" w:ascii="宋体" w:hAnsi="宋体" w:eastAsia="仿宋_GB2312" w:cs="仿宋_GB2312"/>
                <w:color w:val="auto"/>
                <w:sz w:val="24"/>
                <w:szCs w:val="24"/>
                <w:lang w:val="en-US" w:eastAsia="en-US"/>
              </w:rPr>
              <w:t>5.发生重大病害或疫病后不采取有效防治措施，致使损失扩大的。</w:t>
            </w:r>
            <w:r>
              <w:rPr>
                <w:rFonts w:hint="eastAsia" w:ascii="宋体" w:hAnsi="宋体" w:eastAsia="仿宋_GB2312" w:cs="仿宋_GB2312"/>
                <w:color w:val="auto"/>
                <w:sz w:val="24"/>
                <w:szCs w:val="24"/>
                <w:lang w:val="en-US" w:eastAsia="en-US"/>
              </w:rPr>
              <w:br w:type="textWrapping"/>
            </w:r>
            <w:r>
              <w:rPr>
                <w:rFonts w:hint="eastAsia" w:ascii="宋体" w:hAnsi="宋体" w:eastAsia="仿宋_GB2312" w:cs="仿宋_GB2312"/>
                <w:color w:val="auto"/>
                <w:sz w:val="24"/>
                <w:szCs w:val="24"/>
                <w:lang w:val="en-US" w:eastAsia="en-US"/>
              </w:rPr>
              <w:t>6.保险单中载明的免赔额和其他不属于保险合同责任范围内的损失、费用，保险人也不负责赔偿。</w:t>
            </w:r>
          </w:p>
          <w:p w14:paraId="726D6C4E">
            <w:pPr>
              <w:keepNext w:val="0"/>
              <w:keepLines w:val="0"/>
              <w:pageBreakBefore w:val="0"/>
              <w:widowControl w:val="0"/>
              <w:numPr>
                <w:ilvl w:val="0"/>
                <w:numId w:val="0"/>
              </w:numPr>
              <w:pBdr>
                <w:top w:val="none" w:color="auto" w:sz="0" w:space="0"/>
                <w:bottom w:val="none" w:color="auto" w:sz="0" w:space="0"/>
              </w:pBdr>
              <w:kinsoku/>
              <w:wordWrap/>
              <w:overflowPunct/>
              <w:topLinePunct w:val="0"/>
              <w:autoSpaceDE/>
              <w:autoSpaceDN/>
              <w:bidi w:val="0"/>
              <w:adjustRightInd/>
              <w:snapToGrid/>
              <w:spacing w:after="0" w:line="440" w:lineRule="exact"/>
              <w:ind w:firstLine="0" w:firstLineChars="0"/>
              <w:jc w:val="both"/>
              <w:textAlignment w:val="auto"/>
              <w:rPr>
                <w:rFonts w:hint="default" w:ascii="宋体" w:hAnsi="宋体" w:eastAsia="仿宋_GB2312" w:cs="仿宋_GB2312"/>
                <w:color w:val="auto"/>
                <w:sz w:val="24"/>
                <w:szCs w:val="24"/>
                <w:lang w:val="en-US" w:eastAsia="zh-CN"/>
              </w:rPr>
            </w:pPr>
            <w:r>
              <w:rPr>
                <w:rFonts w:hint="eastAsia" w:ascii="宋体" w:hAnsi="宋体" w:eastAsia="仿宋_GB2312" w:cs="仿宋_GB2312"/>
                <w:color w:val="auto"/>
                <w:sz w:val="24"/>
                <w:szCs w:val="24"/>
                <w:lang w:val="en-US" w:eastAsia="en-US"/>
              </w:rPr>
              <w:t>7.保险肉牛因病死亡不能确认无害化处理的，保险人也不负责赔偿。</w:t>
            </w:r>
          </w:p>
        </w:tc>
      </w:tr>
    </w:tbl>
    <w:p w14:paraId="265F2B4C">
      <w:pPr>
        <w:pStyle w:val="2"/>
        <w:keepNext w:val="0"/>
        <w:keepLines w:val="0"/>
        <w:pageBreakBefore w:val="0"/>
        <w:widowControl w:val="0"/>
        <w:numPr>
          <w:ilvl w:val="0"/>
          <w:numId w:val="0"/>
        </w:numPr>
        <w:pBdr>
          <w:top w:val="none" w:color="auto" w:sz="0" w:space="0"/>
          <w:bottom w:val="none" w:color="auto" w:sz="0" w:space="0"/>
        </w:pBdr>
        <w:kinsoku/>
        <w:wordWrap/>
        <w:overflowPunct/>
        <w:topLinePunct w:val="0"/>
        <w:autoSpaceDE/>
        <w:autoSpaceDN/>
        <w:bidi w:val="0"/>
        <w:adjustRightInd/>
        <w:snapToGrid/>
        <w:spacing w:after="0" w:line="604" w:lineRule="exact"/>
        <w:ind w:firstLine="600" w:firstLineChars="200"/>
        <w:textAlignment w:val="auto"/>
        <w:rPr>
          <w:rFonts w:hint="eastAsia" w:ascii="宋体" w:hAnsi="宋体" w:eastAsia="黑体" w:cs="黑体"/>
          <w:color w:val="auto"/>
          <w:kern w:val="0"/>
          <w:sz w:val="30"/>
          <w:szCs w:val="30"/>
          <w:lang w:val="en-US" w:eastAsia="zh-CN" w:bidi="ar-SA"/>
        </w:rPr>
      </w:pPr>
      <w:r>
        <w:rPr>
          <w:rFonts w:hint="eastAsia" w:ascii="宋体" w:hAnsi="宋体" w:eastAsia="黑体" w:cs="黑体"/>
          <w:color w:val="auto"/>
          <w:kern w:val="0"/>
          <w:sz w:val="30"/>
          <w:szCs w:val="30"/>
          <w:lang w:val="en-US" w:eastAsia="zh-CN" w:bidi="ar-SA"/>
        </w:rPr>
        <w:t>四、保险金额与费率</w:t>
      </w:r>
    </w:p>
    <w:p w14:paraId="7CCC9CDE">
      <w:pPr>
        <w:pStyle w:val="2"/>
        <w:keepNext w:val="0"/>
        <w:keepLines w:val="0"/>
        <w:pageBreakBefore w:val="0"/>
        <w:widowControl w:val="0"/>
        <w:numPr>
          <w:ilvl w:val="0"/>
          <w:numId w:val="0"/>
        </w:numPr>
        <w:pBdr>
          <w:top w:val="none" w:color="auto" w:sz="0" w:space="0"/>
          <w:bottom w:val="none" w:color="auto" w:sz="0" w:space="0"/>
        </w:pBdr>
        <w:kinsoku/>
        <w:wordWrap/>
        <w:overflowPunct/>
        <w:topLinePunct w:val="0"/>
        <w:autoSpaceDE/>
        <w:autoSpaceDN/>
        <w:bidi w:val="0"/>
        <w:adjustRightInd/>
        <w:snapToGrid/>
        <w:spacing w:after="0" w:line="604" w:lineRule="exact"/>
        <w:ind w:firstLine="600" w:firstLineChars="200"/>
        <w:textAlignment w:val="auto"/>
        <w:rPr>
          <w:rFonts w:hint="eastAsia" w:ascii="宋体" w:hAnsi="宋体" w:cs="仿宋_GB2312"/>
          <w:color w:val="auto"/>
          <w:sz w:val="30"/>
          <w:szCs w:val="30"/>
          <w:highlight w:val="none"/>
          <w:lang w:val="en-US" w:eastAsia="zh-CN"/>
        </w:rPr>
      </w:pPr>
      <w:r>
        <w:rPr>
          <w:rFonts w:hint="eastAsia" w:ascii="宋体" w:hAnsi="宋体" w:cs="仿宋_GB2312"/>
          <w:color w:val="auto"/>
          <w:sz w:val="30"/>
          <w:szCs w:val="30"/>
          <w:highlight w:val="none"/>
          <w:lang w:val="en-US" w:eastAsia="zh-CN"/>
        </w:rPr>
        <w:t>保险金额：13000元/头</w:t>
      </w:r>
    </w:p>
    <w:p w14:paraId="6C06980C">
      <w:pPr>
        <w:pStyle w:val="2"/>
        <w:keepNext w:val="0"/>
        <w:keepLines w:val="0"/>
        <w:pageBreakBefore w:val="0"/>
        <w:widowControl w:val="0"/>
        <w:numPr>
          <w:ilvl w:val="0"/>
          <w:numId w:val="0"/>
        </w:numPr>
        <w:pBdr>
          <w:top w:val="none" w:color="auto" w:sz="0" w:space="0"/>
          <w:bottom w:val="none" w:color="auto" w:sz="0" w:space="0"/>
        </w:pBdr>
        <w:kinsoku/>
        <w:wordWrap/>
        <w:overflowPunct/>
        <w:topLinePunct w:val="0"/>
        <w:autoSpaceDE/>
        <w:autoSpaceDN/>
        <w:bidi w:val="0"/>
        <w:adjustRightInd/>
        <w:snapToGrid/>
        <w:spacing w:after="0" w:line="604" w:lineRule="exact"/>
        <w:ind w:firstLine="600" w:firstLineChars="200"/>
        <w:textAlignment w:val="auto"/>
        <w:rPr>
          <w:rFonts w:hint="eastAsia" w:ascii="宋体" w:hAnsi="宋体" w:cs="仿宋_GB2312"/>
          <w:color w:val="auto"/>
          <w:sz w:val="30"/>
          <w:szCs w:val="30"/>
          <w:highlight w:val="none"/>
          <w:lang w:val="en-US" w:eastAsia="zh-CN"/>
        </w:rPr>
      </w:pPr>
      <w:r>
        <w:rPr>
          <w:rFonts w:hint="eastAsia" w:ascii="宋体" w:hAnsi="宋体" w:cs="仿宋_GB2312"/>
          <w:color w:val="auto"/>
          <w:sz w:val="30"/>
          <w:szCs w:val="30"/>
          <w:highlight w:val="none"/>
          <w:lang w:val="en-US" w:eastAsia="zh-CN"/>
        </w:rPr>
        <w:t>保险费率：3%</w:t>
      </w:r>
    </w:p>
    <w:p w14:paraId="14482ED4">
      <w:pPr>
        <w:pStyle w:val="2"/>
        <w:keepNext w:val="0"/>
        <w:keepLines w:val="0"/>
        <w:pageBreakBefore w:val="0"/>
        <w:widowControl w:val="0"/>
        <w:numPr>
          <w:ilvl w:val="0"/>
          <w:numId w:val="0"/>
        </w:numPr>
        <w:pBdr>
          <w:top w:val="none" w:color="auto" w:sz="0" w:space="0"/>
          <w:bottom w:val="none" w:color="auto" w:sz="0" w:space="0"/>
        </w:pBdr>
        <w:kinsoku/>
        <w:wordWrap/>
        <w:overflowPunct/>
        <w:topLinePunct w:val="0"/>
        <w:autoSpaceDE/>
        <w:autoSpaceDN/>
        <w:bidi w:val="0"/>
        <w:adjustRightInd/>
        <w:snapToGrid/>
        <w:spacing w:after="0" w:line="604" w:lineRule="exact"/>
        <w:ind w:firstLine="600" w:firstLineChars="200"/>
        <w:textAlignment w:val="auto"/>
        <w:rPr>
          <w:rFonts w:hint="eastAsia" w:ascii="宋体" w:hAnsi="宋体" w:cs="仿宋_GB2312"/>
          <w:color w:val="auto"/>
          <w:sz w:val="30"/>
          <w:szCs w:val="30"/>
          <w:highlight w:val="none"/>
          <w:lang w:val="en-US" w:eastAsia="zh-CN"/>
        </w:rPr>
      </w:pPr>
      <w:r>
        <w:rPr>
          <w:rFonts w:hint="eastAsia" w:ascii="宋体" w:hAnsi="宋体" w:cs="仿宋_GB2312"/>
          <w:color w:val="auto"/>
          <w:sz w:val="30"/>
          <w:szCs w:val="30"/>
          <w:highlight w:val="none"/>
          <w:lang w:val="en-US" w:eastAsia="zh-CN"/>
        </w:rPr>
        <w:t>单位保费：390元/头</w:t>
      </w:r>
    </w:p>
    <w:p w14:paraId="4916B258">
      <w:pPr>
        <w:keepNext w:val="0"/>
        <w:keepLines w:val="0"/>
        <w:pageBreakBefore w:val="0"/>
        <w:widowControl w:val="0"/>
        <w:numPr>
          <w:ilvl w:val="0"/>
          <w:numId w:val="0"/>
        </w:numPr>
        <w:pBdr>
          <w:top w:val="none" w:color="auto" w:sz="0" w:space="0"/>
          <w:bottom w:val="none" w:color="auto" w:sz="0" w:space="0"/>
        </w:pBdr>
        <w:kinsoku/>
        <w:wordWrap/>
        <w:overflowPunct/>
        <w:topLinePunct w:val="0"/>
        <w:autoSpaceDE/>
        <w:autoSpaceDN/>
        <w:bidi w:val="0"/>
        <w:adjustRightInd/>
        <w:snapToGrid/>
        <w:spacing w:after="0" w:line="604" w:lineRule="exact"/>
        <w:ind w:firstLine="600" w:firstLineChars="200"/>
        <w:textAlignment w:val="auto"/>
        <w:rPr>
          <w:rFonts w:hint="eastAsia" w:ascii="宋体" w:hAnsi="宋体"/>
          <w:sz w:val="30"/>
          <w:szCs w:val="30"/>
          <w:lang w:val="en-US" w:eastAsia="zh-CN"/>
        </w:rPr>
      </w:pPr>
      <w:r>
        <w:rPr>
          <w:rFonts w:hint="eastAsia" w:ascii="宋体" w:hAnsi="宋体" w:eastAsia="仿宋_GB2312" w:cs="仿宋_GB2312"/>
          <w:color w:val="auto"/>
          <w:kern w:val="0"/>
          <w:sz w:val="30"/>
          <w:szCs w:val="30"/>
          <w:highlight w:val="none"/>
          <w:lang w:val="en-US" w:eastAsia="zh-CN" w:bidi="ar-SA"/>
        </w:rPr>
        <w:t>约定</w:t>
      </w:r>
      <w:r>
        <w:rPr>
          <w:rFonts w:hint="default" w:ascii="宋体" w:hAnsi="宋体" w:eastAsia="仿宋_GB2312" w:cs="仿宋_GB2312"/>
          <w:color w:val="auto"/>
          <w:kern w:val="0"/>
          <w:sz w:val="30"/>
          <w:szCs w:val="30"/>
          <w:highlight w:val="none"/>
          <w:lang w:val="en-US" w:eastAsia="zh-CN" w:bidi="ar-SA"/>
        </w:rPr>
        <w:t>保险价格由投保人与保险人根据</w:t>
      </w:r>
      <w:r>
        <w:rPr>
          <w:rFonts w:hint="eastAsia" w:ascii="宋体" w:hAnsi="宋体" w:eastAsia="仿宋_GB2312" w:cs="仿宋_GB2312"/>
          <w:color w:val="auto"/>
          <w:kern w:val="0"/>
          <w:sz w:val="30"/>
          <w:szCs w:val="30"/>
          <w:highlight w:val="none"/>
          <w:lang w:val="en-US" w:eastAsia="zh-CN" w:bidi="ar-SA"/>
        </w:rPr>
        <w:t>肉牛品种</w:t>
      </w:r>
      <w:r>
        <w:rPr>
          <w:rFonts w:hint="default" w:ascii="宋体" w:hAnsi="宋体" w:eastAsia="仿宋_GB2312" w:cs="仿宋_GB2312"/>
          <w:color w:val="auto"/>
          <w:kern w:val="0"/>
          <w:sz w:val="30"/>
          <w:szCs w:val="30"/>
          <w:highlight w:val="none"/>
          <w:lang w:val="en-US" w:eastAsia="zh-CN" w:bidi="ar-SA"/>
        </w:rPr>
        <w:t>或当地农业农村、财政、</w:t>
      </w:r>
      <w:r>
        <w:rPr>
          <w:rFonts w:hint="default" w:ascii="宋体" w:hAnsi="宋体" w:eastAsia="仿宋_GB2312" w:cs="仿宋_GB2312"/>
          <w:color w:val="auto"/>
          <w:kern w:val="0"/>
          <w:sz w:val="30"/>
          <w:szCs w:val="30"/>
          <w:highlight w:val="none"/>
          <w:lang w:eastAsia="zh-CN" w:bidi="ar-SA"/>
        </w:rPr>
        <w:t>发展改革</w:t>
      </w:r>
      <w:r>
        <w:rPr>
          <w:rFonts w:hint="default" w:ascii="宋体" w:hAnsi="宋体" w:eastAsia="仿宋_GB2312" w:cs="仿宋_GB2312"/>
          <w:color w:val="auto"/>
          <w:kern w:val="0"/>
          <w:sz w:val="30"/>
          <w:szCs w:val="30"/>
          <w:highlight w:val="none"/>
          <w:lang w:val="en-US" w:eastAsia="zh-CN" w:bidi="ar-SA"/>
        </w:rPr>
        <w:t>、统计等部门提供近期市场价格协商确定，但不得高于</w:t>
      </w:r>
      <w:r>
        <w:rPr>
          <w:rFonts w:hint="eastAsia" w:ascii="宋体" w:hAnsi="宋体" w:eastAsia="仿宋_GB2312" w:cs="仿宋_GB2312"/>
          <w:color w:val="auto"/>
          <w:kern w:val="0"/>
          <w:sz w:val="30"/>
          <w:szCs w:val="30"/>
          <w:highlight w:val="none"/>
          <w:lang w:val="en-US" w:eastAsia="zh-CN" w:bidi="ar-SA"/>
        </w:rPr>
        <w:t>上一季度平均</w:t>
      </w:r>
      <w:r>
        <w:rPr>
          <w:rFonts w:hint="default" w:ascii="宋体" w:hAnsi="宋体" w:eastAsia="仿宋_GB2312" w:cs="仿宋_GB2312"/>
          <w:color w:val="auto"/>
          <w:kern w:val="0"/>
          <w:sz w:val="30"/>
          <w:szCs w:val="30"/>
          <w:highlight w:val="none"/>
          <w:lang w:val="en-US" w:eastAsia="zh-CN" w:bidi="ar-SA"/>
        </w:rPr>
        <w:t>市场价格，并在保险单中载明</w:t>
      </w:r>
      <w:r>
        <w:rPr>
          <w:rFonts w:hint="eastAsia" w:ascii="宋体" w:hAnsi="宋体" w:eastAsia="仿宋_GB2312" w:cs="仿宋_GB2312"/>
          <w:color w:val="auto"/>
          <w:kern w:val="0"/>
          <w:sz w:val="30"/>
          <w:szCs w:val="30"/>
          <w:highlight w:val="none"/>
          <w:lang w:val="en-US" w:eastAsia="zh-CN" w:bidi="ar-SA"/>
        </w:rPr>
        <w:t>。</w:t>
      </w:r>
    </w:p>
    <w:p w14:paraId="2F7D1DC6">
      <w:pPr>
        <w:pStyle w:val="2"/>
        <w:keepNext w:val="0"/>
        <w:keepLines w:val="0"/>
        <w:pageBreakBefore w:val="0"/>
        <w:widowControl w:val="0"/>
        <w:numPr>
          <w:ilvl w:val="0"/>
          <w:numId w:val="0"/>
        </w:numPr>
        <w:pBdr>
          <w:top w:val="none" w:color="auto" w:sz="0" w:space="0"/>
          <w:bottom w:val="none" w:color="auto" w:sz="0" w:space="0"/>
        </w:pBdr>
        <w:kinsoku/>
        <w:wordWrap/>
        <w:overflowPunct/>
        <w:topLinePunct w:val="0"/>
        <w:autoSpaceDE/>
        <w:autoSpaceDN/>
        <w:bidi w:val="0"/>
        <w:adjustRightInd/>
        <w:snapToGrid/>
        <w:spacing w:after="0" w:line="604" w:lineRule="exact"/>
        <w:ind w:firstLine="600" w:firstLineChars="200"/>
        <w:textAlignment w:val="auto"/>
        <w:rPr>
          <w:rFonts w:hint="eastAsia" w:ascii="宋体" w:hAnsi="宋体" w:eastAsia="黑体" w:cs="黑体"/>
          <w:color w:val="auto"/>
          <w:kern w:val="0"/>
          <w:sz w:val="30"/>
          <w:szCs w:val="30"/>
          <w:lang w:val="en-US" w:eastAsia="zh-CN" w:bidi="ar-SA"/>
        </w:rPr>
      </w:pPr>
      <w:r>
        <w:rPr>
          <w:rFonts w:hint="eastAsia" w:ascii="宋体" w:hAnsi="宋体" w:eastAsia="黑体" w:cs="黑体"/>
          <w:color w:val="auto"/>
          <w:kern w:val="0"/>
          <w:sz w:val="30"/>
          <w:szCs w:val="30"/>
          <w:lang w:val="en-US" w:eastAsia="zh-CN" w:bidi="ar-SA"/>
        </w:rPr>
        <w:t>五、保险期限</w:t>
      </w:r>
    </w:p>
    <w:p w14:paraId="34C01F30">
      <w:pPr>
        <w:pStyle w:val="2"/>
        <w:keepNext w:val="0"/>
        <w:keepLines w:val="0"/>
        <w:pageBreakBefore w:val="0"/>
        <w:widowControl w:val="0"/>
        <w:numPr>
          <w:ilvl w:val="0"/>
          <w:numId w:val="0"/>
        </w:numPr>
        <w:pBdr>
          <w:top w:val="none" w:color="auto" w:sz="0" w:space="0"/>
          <w:bottom w:val="none" w:color="auto" w:sz="0" w:space="0"/>
        </w:pBdr>
        <w:kinsoku/>
        <w:wordWrap/>
        <w:overflowPunct/>
        <w:topLinePunct w:val="0"/>
        <w:autoSpaceDE/>
        <w:autoSpaceDN/>
        <w:bidi w:val="0"/>
        <w:adjustRightInd/>
        <w:snapToGrid/>
        <w:spacing w:after="0" w:line="604" w:lineRule="exact"/>
        <w:ind w:firstLine="600" w:firstLineChars="200"/>
        <w:textAlignment w:val="auto"/>
        <w:rPr>
          <w:rFonts w:hint="eastAsia" w:ascii="宋体" w:hAnsi="宋体" w:cs="仿宋_GB2312"/>
          <w:color w:val="auto"/>
          <w:sz w:val="30"/>
          <w:szCs w:val="30"/>
          <w:highlight w:val="none"/>
          <w:lang w:val="en-US" w:eastAsia="zh-CN"/>
        </w:rPr>
      </w:pPr>
      <w:r>
        <w:rPr>
          <w:rFonts w:hint="eastAsia" w:ascii="宋体" w:hAnsi="宋体" w:cs="仿宋_GB2312"/>
          <w:color w:val="auto"/>
          <w:sz w:val="30"/>
          <w:szCs w:val="30"/>
          <w:highlight w:val="none"/>
          <w:lang w:val="en-US" w:eastAsia="zh-CN"/>
        </w:rPr>
        <w:t>保险期限为一年。</w:t>
      </w:r>
    </w:p>
    <w:p w14:paraId="547D0A08">
      <w:pPr>
        <w:pStyle w:val="2"/>
        <w:keepNext w:val="0"/>
        <w:keepLines w:val="0"/>
        <w:pageBreakBefore w:val="0"/>
        <w:widowControl w:val="0"/>
        <w:numPr>
          <w:ilvl w:val="0"/>
          <w:numId w:val="0"/>
        </w:numPr>
        <w:pBdr>
          <w:top w:val="none" w:color="auto" w:sz="0" w:space="0"/>
          <w:bottom w:val="none" w:color="auto" w:sz="0" w:space="0"/>
        </w:pBdr>
        <w:kinsoku/>
        <w:wordWrap/>
        <w:overflowPunct/>
        <w:topLinePunct w:val="0"/>
        <w:autoSpaceDE/>
        <w:autoSpaceDN/>
        <w:bidi w:val="0"/>
        <w:adjustRightInd/>
        <w:snapToGrid/>
        <w:spacing w:after="0" w:line="604" w:lineRule="exact"/>
        <w:ind w:left="420" w:leftChars="200"/>
        <w:textAlignment w:val="auto"/>
        <w:rPr>
          <w:rFonts w:hint="eastAsia" w:ascii="宋体" w:hAnsi="宋体" w:eastAsia="黑体" w:cs="黑体"/>
          <w:color w:val="auto"/>
          <w:kern w:val="0"/>
          <w:sz w:val="30"/>
          <w:szCs w:val="30"/>
          <w:lang w:val="en-US" w:eastAsia="zh-CN" w:bidi="ar-SA"/>
        </w:rPr>
      </w:pPr>
      <w:r>
        <w:rPr>
          <w:rFonts w:hint="eastAsia" w:ascii="宋体" w:hAnsi="宋体" w:eastAsia="黑体" w:cs="黑体"/>
          <w:color w:val="auto"/>
          <w:kern w:val="0"/>
          <w:sz w:val="30"/>
          <w:szCs w:val="30"/>
          <w:lang w:val="en-US" w:eastAsia="zh-CN" w:bidi="ar-SA"/>
        </w:rPr>
        <w:t xml:space="preserve"> 六、赔偿处理</w:t>
      </w:r>
    </w:p>
    <w:p w14:paraId="12FB41DE">
      <w:pPr>
        <w:keepNext w:val="0"/>
        <w:keepLines w:val="0"/>
        <w:pageBreakBefore w:val="0"/>
        <w:widowControl w:val="0"/>
        <w:pBdr>
          <w:top w:val="none" w:color="auto" w:sz="0" w:space="0"/>
          <w:bottom w:val="none" w:color="auto" w:sz="0" w:space="0"/>
        </w:pBdr>
        <w:kinsoku/>
        <w:wordWrap/>
        <w:overflowPunct/>
        <w:topLinePunct w:val="0"/>
        <w:autoSpaceDE/>
        <w:autoSpaceDN/>
        <w:bidi w:val="0"/>
        <w:adjustRightInd/>
        <w:snapToGrid/>
        <w:spacing w:after="0" w:line="610" w:lineRule="exact"/>
        <w:ind w:firstLine="600" w:firstLineChars="200"/>
        <w:textAlignment w:val="auto"/>
        <w:rPr>
          <w:rFonts w:hint="eastAsia" w:ascii="宋体" w:hAnsi="宋体" w:eastAsia="仿宋_GB2312" w:cs="仿宋_GB2312"/>
          <w:color w:val="auto"/>
          <w:kern w:val="0"/>
          <w:sz w:val="30"/>
          <w:szCs w:val="30"/>
          <w:highlight w:val="none"/>
          <w:lang w:val="en-US" w:eastAsia="zh-CN" w:bidi="ar-SA"/>
        </w:rPr>
      </w:pPr>
      <w:r>
        <w:rPr>
          <w:rFonts w:hint="eastAsia" w:ascii="宋体" w:hAnsi="宋体" w:eastAsia="仿宋_GB2312" w:cs="仿宋_GB2312"/>
          <w:color w:val="auto"/>
          <w:kern w:val="0"/>
          <w:sz w:val="30"/>
          <w:szCs w:val="30"/>
          <w:highlight w:val="none"/>
          <w:lang w:val="en-US" w:eastAsia="zh-CN" w:bidi="ar-SA"/>
        </w:rPr>
        <w:t>（一）在保险期间内，因保险条款列明疾病、疫病及自然灾害，导致肉牛死亡时，按以下方式计算赔偿：</w:t>
      </w:r>
    </w:p>
    <w:p w14:paraId="47BA9CF2">
      <w:pPr>
        <w:keepNext w:val="0"/>
        <w:keepLines w:val="0"/>
        <w:pageBreakBefore w:val="0"/>
        <w:widowControl w:val="0"/>
        <w:pBdr>
          <w:top w:val="none" w:color="auto" w:sz="0" w:space="0"/>
          <w:bottom w:val="none" w:color="auto" w:sz="0" w:space="0"/>
        </w:pBdr>
        <w:kinsoku/>
        <w:wordWrap/>
        <w:overflowPunct/>
        <w:topLinePunct w:val="0"/>
        <w:autoSpaceDE/>
        <w:autoSpaceDN/>
        <w:bidi w:val="0"/>
        <w:adjustRightInd/>
        <w:snapToGrid/>
        <w:spacing w:after="0" w:line="610" w:lineRule="exact"/>
        <w:ind w:firstLine="600" w:firstLineChars="200"/>
        <w:textAlignment w:val="auto"/>
        <w:rPr>
          <w:rFonts w:hint="eastAsia" w:ascii="宋体" w:hAnsi="宋体" w:eastAsia="仿宋_GB2312" w:cs="仿宋_GB2312"/>
          <w:color w:val="auto"/>
          <w:kern w:val="0"/>
          <w:sz w:val="30"/>
          <w:szCs w:val="30"/>
          <w:highlight w:val="none"/>
          <w:lang w:val="en-US" w:eastAsia="zh-CN" w:bidi="ar-SA"/>
        </w:rPr>
      </w:pPr>
      <w:r>
        <w:rPr>
          <w:rFonts w:hint="eastAsia" w:ascii="宋体" w:hAnsi="宋体" w:eastAsia="仿宋_GB2312" w:cs="仿宋_GB2312"/>
          <w:color w:val="auto"/>
          <w:kern w:val="0"/>
          <w:sz w:val="30"/>
          <w:szCs w:val="30"/>
          <w:highlight w:val="none"/>
          <w:lang w:val="en-US" w:eastAsia="zh-CN" w:bidi="ar-SA"/>
        </w:rPr>
        <w:t>每头肉牛死亡赔偿金额=每头肉牛的尸重×约定保险价格。</w:t>
      </w:r>
    </w:p>
    <w:p w14:paraId="51A3FFFA">
      <w:pPr>
        <w:keepNext w:val="0"/>
        <w:keepLines w:val="0"/>
        <w:pageBreakBefore w:val="0"/>
        <w:widowControl w:val="0"/>
        <w:pBdr>
          <w:top w:val="none" w:color="auto" w:sz="0" w:space="0"/>
          <w:bottom w:val="none" w:color="auto" w:sz="0" w:space="0"/>
        </w:pBdr>
        <w:kinsoku/>
        <w:wordWrap/>
        <w:overflowPunct/>
        <w:topLinePunct w:val="0"/>
        <w:autoSpaceDE/>
        <w:autoSpaceDN/>
        <w:bidi w:val="0"/>
        <w:adjustRightInd/>
        <w:snapToGrid/>
        <w:spacing w:after="0" w:line="610" w:lineRule="exact"/>
        <w:ind w:firstLine="600" w:firstLineChars="200"/>
        <w:textAlignment w:val="auto"/>
        <w:rPr>
          <w:rFonts w:hint="eastAsia" w:ascii="宋体" w:hAnsi="宋体" w:eastAsia="仿宋_GB2312" w:cs="仿宋_GB2312"/>
          <w:color w:val="auto"/>
          <w:kern w:val="0"/>
          <w:sz w:val="30"/>
          <w:szCs w:val="30"/>
          <w:highlight w:val="none"/>
          <w:lang w:val="en-US" w:eastAsia="zh-CN" w:bidi="ar-SA"/>
        </w:rPr>
      </w:pPr>
      <w:r>
        <w:rPr>
          <w:rFonts w:hint="eastAsia" w:ascii="宋体" w:hAnsi="宋体" w:eastAsia="仿宋_GB2312" w:cs="仿宋_GB2312"/>
          <w:color w:val="auto"/>
          <w:kern w:val="0"/>
          <w:sz w:val="30"/>
          <w:szCs w:val="30"/>
          <w:highlight w:val="none"/>
          <w:lang w:val="en-US" w:eastAsia="zh-CN" w:bidi="ar-SA"/>
        </w:rPr>
        <w:t>赔偿总金额=∑每头肉牛死亡赔偿金额。</w:t>
      </w:r>
    </w:p>
    <w:p w14:paraId="775DC5D0">
      <w:pPr>
        <w:keepNext w:val="0"/>
        <w:keepLines w:val="0"/>
        <w:pageBreakBefore w:val="0"/>
        <w:widowControl w:val="0"/>
        <w:pBdr>
          <w:top w:val="none" w:color="auto" w:sz="0" w:space="0"/>
          <w:bottom w:val="none" w:color="auto" w:sz="0" w:space="0"/>
        </w:pBdr>
        <w:kinsoku/>
        <w:wordWrap/>
        <w:overflowPunct/>
        <w:topLinePunct w:val="0"/>
        <w:autoSpaceDE/>
        <w:autoSpaceDN/>
        <w:bidi w:val="0"/>
        <w:adjustRightInd/>
        <w:snapToGrid/>
        <w:spacing w:after="0" w:line="604" w:lineRule="exact"/>
        <w:ind w:firstLine="600" w:firstLineChars="200"/>
        <w:textAlignment w:val="auto"/>
        <w:rPr>
          <w:rFonts w:hint="eastAsia" w:ascii="宋体" w:hAnsi="宋体" w:eastAsia="仿宋_GB2312" w:cs="仿宋_GB2312"/>
          <w:color w:val="auto"/>
          <w:kern w:val="0"/>
          <w:sz w:val="30"/>
          <w:szCs w:val="30"/>
          <w:highlight w:val="none"/>
          <w:lang w:val="en-US" w:eastAsia="zh-CN" w:bidi="ar-SA"/>
        </w:rPr>
      </w:pPr>
      <w:r>
        <w:rPr>
          <w:rFonts w:hint="eastAsia" w:ascii="宋体" w:hAnsi="宋体" w:eastAsia="仿宋_GB2312" w:cs="仿宋_GB2312"/>
          <w:color w:val="auto"/>
          <w:kern w:val="0"/>
          <w:sz w:val="30"/>
          <w:szCs w:val="30"/>
          <w:highlight w:val="none"/>
          <w:lang w:val="en-US" w:eastAsia="zh-CN" w:bidi="ar-SA"/>
        </w:rPr>
        <w:t>（二）在保险责任期间内，因肉牛市场价格下跌，导致理赔结算价格低于约定保险价格时，价格损失保险责任在保险期限结束后进行一次性结算，承保机构按以下方式计算赔偿：</w:t>
      </w:r>
    </w:p>
    <w:p w14:paraId="2979A3F8">
      <w:pPr>
        <w:keepNext w:val="0"/>
        <w:keepLines w:val="0"/>
        <w:pageBreakBefore w:val="0"/>
        <w:widowControl w:val="0"/>
        <w:pBdr>
          <w:top w:val="none" w:color="auto" w:sz="0" w:space="0"/>
          <w:bottom w:val="none" w:color="auto" w:sz="0" w:space="0"/>
        </w:pBdr>
        <w:kinsoku/>
        <w:wordWrap/>
        <w:overflowPunct/>
        <w:topLinePunct w:val="0"/>
        <w:autoSpaceDE/>
        <w:autoSpaceDN/>
        <w:bidi w:val="0"/>
        <w:adjustRightInd/>
        <w:snapToGrid/>
        <w:spacing w:after="0" w:line="604" w:lineRule="exact"/>
        <w:ind w:firstLine="600" w:firstLineChars="200"/>
        <w:textAlignment w:val="auto"/>
        <w:rPr>
          <w:rFonts w:hint="eastAsia" w:ascii="宋体" w:hAnsi="宋体" w:eastAsia="仿宋_GB2312" w:cs="仿宋_GB2312"/>
          <w:color w:val="auto"/>
          <w:kern w:val="0"/>
          <w:sz w:val="30"/>
          <w:szCs w:val="30"/>
          <w:highlight w:val="none"/>
          <w:lang w:val="en-US" w:eastAsia="zh-CN" w:bidi="ar-SA"/>
        </w:rPr>
      </w:pPr>
      <w:r>
        <w:rPr>
          <w:rFonts w:hint="eastAsia" w:ascii="宋体" w:hAnsi="宋体" w:eastAsia="仿宋_GB2312" w:cs="仿宋_GB2312"/>
          <w:color w:val="auto"/>
          <w:kern w:val="0"/>
          <w:sz w:val="30"/>
          <w:szCs w:val="30"/>
          <w:highlight w:val="none"/>
          <w:lang w:val="en-US" w:eastAsia="zh-CN" w:bidi="ar-SA"/>
        </w:rPr>
        <w:t>赔偿金额=（约定保险价格-理赔结算价格）×实际出栏重量×实际出栏数量。</w:t>
      </w:r>
    </w:p>
    <w:p w14:paraId="08512E98">
      <w:pPr>
        <w:keepNext w:val="0"/>
        <w:keepLines w:val="0"/>
        <w:pageBreakBefore w:val="0"/>
        <w:widowControl w:val="0"/>
        <w:pBdr>
          <w:top w:val="none" w:color="auto" w:sz="0" w:space="0"/>
          <w:bottom w:val="none" w:color="auto" w:sz="0" w:space="0"/>
        </w:pBdr>
        <w:kinsoku/>
        <w:wordWrap/>
        <w:overflowPunct/>
        <w:topLinePunct w:val="0"/>
        <w:autoSpaceDE/>
        <w:autoSpaceDN/>
        <w:bidi w:val="0"/>
        <w:adjustRightInd/>
        <w:snapToGrid/>
        <w:spacing w:after="0" w:line="604" w:lineRule="exact"/>
        <w:ind w:firstLine="600" w:firstLineChars="200"/>
        <w:textAlignment w:val="auto"/>
        <w:rPr>
          <w:rFonts w:hint="eastAsia" w:ascii="宋体" w:hAnsi="宋体" w:eastAsia="仿宋_GB2312" w:cs="仿宋_GB2312"/>
          <w:color w:val="auto"/>
          <w:kern w:val="0"/>
          <w:sz w:val="30"/>
          <w:szCs w:val="30"/>
          <w:highlight w:val="none"/>
          <w:lang w:val="en-US" w:eastAsia="zh-CN" w:bidi="ar-SA"/>
        </w:rPr>
      </w:pPr>
      <w:r>
        <w:rPr>
          <w:rFonts w:hint="eastAsia" w:ascii="宋体" w:hAnsi="宋体" w:eastAsia="仿宋_GB2312" w:cs="仿宋_GB2312"/>
          <w:color w:val="auto"/>
          <w:kern w:val="0"/>
          <w:sz w:val="30"/>
          <w:szCs w:val="30"/>
          <w:highlight w:val="none"/>
          <w:lang w:val="en-US" w:eastAsia="zh-CN" w:bidi="ar-SA"/>
        </w:rPr>
        <w:t>实际出栏数量：投保标的在保险期限内的实际出栏数。</w:t>
      </w:r>
    </w:p>
    <w:p w14:paraId="601CB5AF">
      <w:pPr>
        <w:keepNext w:val="0"/>
        <w:keepLines w:val="0"/>
        <w:pageBreakBefore w:val="0"/>
        <w:widowControl w:val="0"/>
        <w:pBdr>
          <w:top w:val="none" w:color="auto" w:sz="0" w:space="0"/>
          <w:bottom w:val="none" w:color="auto" w:sz="0" w:space="0"/>
        </w:pBdr>
        <w:kinsoku/>
        <w:wordWrap/>
        <w:overflowPunct/>
        <w:topLinePunct w:val="0"/>
        <w:autoSpaceDE/>
        <w:autoSpaceDN/>
        <w:bidi w:val="0"/>
        <w:adjustRightInd/>
        <w:snapToGrid/>
        <w:spacing w:after="0" w:line="606" w:lineRule="exact"/>
        <w:ind w:firstLine="600" w:firstLineChars="200"/>
        <w:textAlignment w:val="auto"/>
        <w:rPr>
          <w:rFonts w:hint="eastAsia" w:ascii="宋体" w:hAnsi="宋体" w:eastAsia="仿宋_GB2312" w:cs="仿宋_GB2312"/>
          <w:color w:val="auto"/>
          <w:kern w:val="0"/>
          <w:sz w:val="30"/>
          <w:szCs w:val="30"/>
          <w:highlight w:val="none"/>
          <w:lang w:val="en-US" w:eastAsia="zh-CN" w:bidi="ar-SA"/>
        </w:rPr>
      </w:pPr>
      <w:r>
        <w:rPr>
          <w:rFonts w:hint="eastAsia" w:ascii="宋体" w:hAnsi="宋体" w:eastAsia="仿宋_GB2312" w:cs="仿宋_GB2312"/>
          <w:color w:val="auto"/>
          <w:kern w:val="0"/>
          <w:sz w:val="30"/>
          <w:szCs w:val="30"/>
          <w:highlight w:val="none"/>
          <w:lang w:val="en-US" w:eastAsia="zh-CN" w:bidi="ar-SA"/>
        </w:rPr>
        <w:t>实际出栏重量：以出栏时的实际重量为准，且在300公斤（含）以上。</w:t>
      </w:r>
    </w:p>
    <w:p w14:paraId="65E432D1">
      <w:pPr>
        <w:keepNext w:val="0"/>
        <w:keepLines w:val="0"/>
        <w:pageBreakBefore w:val="0"/>
        <w:widowControl w:val="0"/>
        <w:pBdr>
          <w:top w:val="none" w:color="auto" w:sz="0" w:space="0"/>
          <w:bottom w:val="none" w:color="auto" w:sz="0" w:space="0"/>
        </w:pBdr>
        <w:kinsoku/>
        <w:wordWrap/>
        <w:overflowPunct/>
        <w:topLinePunct w:val="0"/>
        <w:autoSpaceDE/>
        <w:autoSpaceDN/>
        <w:bidi w:val="0"/>
        <w:adjustRightInd/>
        <w:snapToGrid/>
        <w:spacing w:after="0" w:line="606" w:lineRule="exact"/>
        <w:ind w:firstLine="600" w:firstLineChars="200"/>
        <w:textAlignment w:val="auto"/>
        <w:rPr>
          <w:rFonts w:hint="eastAsia" w:ascii="宋体" w:hAnsi="宋体" w:eastAsia="仿宋_GB2312" w:cs="仿宋_GB2312"/>
          <w:color w:val="auto"/>
          <w:kern w:val="0"/>
          <w:sz w:val="30"/>
          <w:szCs w:val="30"/>
          <w:highlight w:val="none"/>
          <w:lang w:val="en-US" w:eastAsia="zh-CN" w:bidi="ar-SA"/>
        </w:rPr>
      </w:pPr>
      <w:r>
        <w:rPr>
          <w:rFonts w:hint="eastAsia" w:ascii="宋体" w:hAnsi="宋体" w:eastAsia="仿宋_GB2312" w:cs="仿宋_GB2312"/>
          <w:color w:val="auto"/>
          <w:kern w:val="0"/>
          <w:sz w:val="30"/>
          <w:szCs w:val="30"/>
          <w:highlight w:val="none"/>
          <w:lang w:val="en-US" w:eastAsia="zh-CN" w:bidi="ar-SA"/>
        </w:rPr>
        <w:t>理赔结算价格按季度确定，根据在当地牲畜交易市场按月采集的肉牛交易价格计算得出，不得高于当地肉牛市场本季度交易平均价格。</w:t>
      </w:r>
    </w:p>
    <w:p w14:paraId="1E5B8D17">
      <w:pPr>
        <w:keepNext w:val="0"/>
        <w:keepLines w:val="0"/>
        <w:pageBreakBefore w:val="0"/>
        <w:widowControl w:val="0"/>
        <w:pBdr>
          <w:top w:val="none" w:color="auto" w:sz="0" w:space="0"/>
          <w:bottom w:val="none" w:color="auto" w:sz="0" w:space="0"/>
        </w:pBdr>
        <w:kinsoku/>
        <w:wordWrap/>
        <w:overflowPunct/>
        <w:topLinePunct w:val="0"/>
        <w:autoSpaceDE/>
        <w:autoSpaceDN/>
        <w:bidi w:val="0"/>
        <w:adjustRightInd/>
        <w:snapToGrid/>
        <w:spacing w:after="0" w:line="606" w:lineRule="exact"/>
        <w:ind w:firstLine="600" w:firstLineChars="200"/>
        <w:textAlignment w:val="auto"/>
        <w:rPr>
          <w:rFonts w:hint="eastAsia" w:ascii="宋体" w:hAnsi="宋体" w:eastAsia="仿宋_GB2312" w:cs="仿宋_GB2312"/>
          <w:color w:val="auto"/>
          <w:kern w:val="0"/>
          <w:sz w:val="30"/>
          <w:szCs w:val="30"/>
          <w:highlight w:val="none"/>
          <w:lang w:val="en-US" w:eastAsia="zh-CN" w:bidi="ar-SA"/>
        </w:rPr>
      </w:pPr>
      <w:r>
        <w:rPr>
          <w:rFonts w:hint="eastAsia" w:ascii="宋体" w:hAnsi="宋体" w:eastAsia="仿宋_GB2312" w:cs="仿宋_GB2312"/>
          <w:color w:val="auto"/>
          <w:kern w:val="0"/>
          <w:sz w:val="30"/>
          <w:szCs w:val="30"/>
          <w:highlight w:val="none"/>
          <w:lang w:val="en-US" w:eastAsia="zh-CN" w:bidi="ar-SA"/>
        </w:rPr>
        <w:t>（三）由于保险责任列明的高传染性疫病，政府实施强制扑杀导致保险肉牛死亡：</w:t>
      </w:r>
    </w:p>
    <w:p w14:paraId="7B37C929">
      <w:pPr>
        <w:keepNext w:val="0"/>
        <w:keepLines w:val="0"/>
        <w:pageBreakBefore w:val="0"/>
        <w:widowControl w:val="0"/>
        <w:pBdr>
          <w:top w:val="none" w:color="auto" w:sz="0" w:space="0"/>
          <w:bottom w:val="none" w:color="auto" w:sz="0" w:space="0"/>
        </w:pBdr>
        <w:kinsoku/>
        <w:wordWrap/>
        <w:overflowPunct/>
        <w:topLinePunct w:val="0"/>
        <w:autoSpaceDE/>
        <w:autoSpaceDN/>
        <w:bidi w:val="0"/>
        <w:adjustRightInd/>
        <w:snapToGrid/>
        <w:spacing w:after="0" w:line="606" w:lineRule="exact"/>
        <w:ind w:firstLine="600" w:firstLineChars="200"/>
        <w:textAlignment w:val="auto"/>
        <w:rPr>
          <w:rFonts w:hint="eastAsia" w:ascii="宋体" w:hAnsi="宋体" w:eastAsia="仿宋_GB2312" w:cs="仿宋_GB2312"/>
          <w:color w:val="auto"/>
          <w:kern w:val="0"/>
          <w:sz w:val="30"/>
          <w:szCs w:val="30"/>
          <w:highlight w:val="none"/>
          <w:lang w:val="en-US" w:eastAsia="zh-CN" w:bidi="ar-SA"/>
        </w:rPr>
      </w:pPr>
      <w:r>
        <w:rPr>
          <w:rFonts w:hint="eastAsia" w:ascii="宋体" w:hAnsi="宋体" w:eastAsia="仿宋_GB2312" w:cs="仿宋_GB2312"/>
          <w:color w:val="auto"/>
          <w:kern w:val="0"/>
          <w:sz w:val="30"/>
          <w:szCs w:val="30"/>
          <w:highlight w:val="none"/>
          <w:lang w:val="en-US" w:eastAsia="zh-CN" w:bidi="ar-SA"/>
        </w:rPr>
        <w:t>每头肉牛赔偿金额=（每头肉牛的尸重×约定保险价格-每头</w:t>
      </w:r>
      <w:r>
        <w:rPr>
          <w:rFonts w:hint="default" w:ascii="宋体" w:hAnsi="宋体" w:eastAsia="仿宋_GB2312" w:cs="仿宋_GB2312"/>
          <w:color w:val="auto"/>
          <w:kern w:val="0"/>
          <w:sz w:val="30"/>
          <w:szCs w:val="30"/>
          <w:highlight w:val="none"/>
          <w:lang w:eastAsia="zh-CN" w:bidi="ar-SA"/>
        </w:rPr>
        <w:t>肉牛</w:t>
      </w:r>
      <w:r>
        <w:rPr>
          <w:rFonts w:hint="eastAsia" w:ascii="宋体" w:hAnsi="宋体" w:eastAsia="仿宋_GB2312" w:cs="仿宋_GB2312"/>
          <w:color w:val="auto"/>
          <w:kern w:val="0"/>
          <w:sz w:val="30"/>
          <w:szCs w:val="30"/>
          <w:highlight w:val="none"/>
          <w:lang w:val="en-US" w:eastAsia="zh-CN" w:bidi="ar-SA"/>
        </w:rPr>
        <w:t>政府扑杀专项补贴金额）。</w:t>
      </w:r>
    </w:p>
    <w:p w14:paraId="6BC75C4F">
      <w:pPr>
        <w:keepNext w:val="0"/>
        <w:keepLines w:val="0"/>
        <w:pageBreakBefore w:val="0"/>
        <w:widowControl w:val="0"/>
        <w:pBdr>
          <w:top w:val="none" w:color="auto" w:sz="0" w:space="0"/>
          <w:bottom w:val="none" w:color="auto" w:sz="0" w:space="0"/>
        </w:pBdr>
        <w:kinsoku/>
        <w:wordWrap/>
        <w:overflowPunct/>
        <w:topLinePunct w:val="0"/>
        <w:autoSpaceDE/>
        <w:autoSpaceDN/>
        <w:bidi w:val="0"/>
        <w:adjustRightInd/>
        <w:snapToGrid/>
        <w:spacing w:after="0" w:line="606" w:lineRule="exact"/>
        <w:ind w:firstLine="600" w:firstLineChars="200"/>
        <w:textAlignment w:val="auto"/>
        <w:rPr>
          <w:rFonts w:hint="eastAsia" w:ascii="宋体" w:hAnsi="宋体" w:eastAsia="仿宋_GB2312" w:cs="仿宋_GB2312"/>
          <w:color w:val="auto"/>
          <w:kern w:val="0"/>
          <w:sz w:val="30"/>
          <w:szCs w:val="30"/>
          <w:highlight w:val="none"/>
          <w:lang w:val="en-US" w:eastAsia="zh-CN" w:bidi="ar-SA"/>
        </w:rPr>
      </w:pPr>
      <w:r>
        <w:rPr>
          <w:rFonts w:hint="eastAsia" w:ascii="宋体" w:hAnsi="宋体" w:eastAsia="仿宋_GB2312" w:cs="仿宋_GB2312"/>
          <w:color w:val="auto"/>
          <w:kern w:val="0"/>
          <w:sz w:val="30"/>
          <w:szCs w:val="30"/>
          <w:highlight w:val="none"/>
          <w:lang w:val="en-US" w:eastAsia="zh-CN" w:bidi="ar-SA"/>
        </w:rPr>
        <w:t>赔偿总金额=∑每头肉牛赔偿金额。</w:t>
      </w:r>
    </w:p>
    <w:p w14:paraId="7CFA6C71">
      <w:pPr>
        <w:keepNext w:val="0"/>
        <w:keepLines w:val="0"/>
        <w:pageBreakBefore w:val="0"/>
        <w:widowControl w:val="0"/>
        <w:pBdr>
          <w:top w:val="none" w:color="auto" w:sz="0" w:space="0"/>
          <w:bottom w:val="none" w:color="auto" w:sz="0" w:space="0"/>
        </w:pBdr>
        <w:kinsoku/>
        <w:wordWrap/>
        <w:overflowPunct/>
        <w:topLinePunct w:val="0"/>
        <w:autoSpaceDE/>
        <w:autoSpaceDN/>
        <w:bidi w:val="0"/>
        <w:adjustRightInd/>
        <w:snapToGrid/>
        <w:spacing w:after="0" w:line="606" w:lineRule="exact"/>
        <w:ind w:firstLine="600" w:firstLineChars="200"/>
        <w:textAlignment w:val="auto"/>
        <w:rPr>
          <w:rFonts w:hint="eastAsia" w:ascii="宋体" w:hAnsi="宋体" w:eastAsia="仿宋_GB2312" w:cs="仿宋_GB2312"/>
          <w:color w:val="auto"/>
          <w:kern w:val="0"/>
          <w:sz w:val="30"/>
          <w:szCs w:val="30"/>
          <w:highlight w:val="none"/>
          <w:lang w:val="en-US" w:eastAsia="zh-CN" w:bidi="ar-SA"/>
        </w:rPr>
      </w:pPr>
      <w:r>
        <w:rPr>
          <w:rFonts w:hint="eastAsia" w:ascii="宋体" w:hAnsi="宋体" w:eastAsia="仿宋_GB2312" w:cs="仿宋_GB2312"/>
          <w:color w:val="auto"/>
          <w:kern w:val="0"/>
          <w:sz w:val="30"/>
          <w:szCs w:val="30"/>
          <w:highlight w:val="none"/>
          <w:lang w:val="en-US" w:eastAsia="zh-CN" w:bidi="ar-SA"/>
        </w:rPr>
        <w:t>注：每头肉牛的最高赔偿金额以保险金额13000元/头（含）为限。</w:t>
      </w:r>
    </w:p>
    <w:p w14:paraId="466DC74C">
      <w:pPr>
        <w:keepNext w:val="0"/>
        <w:keepLines w:val="0"/>
        <w:pageBreakBefore w:val="0"/>
        <w:widowControl w:val="0"/>
        <w:pBdr>
          <w:top w:val="none" w:color="auto" w:sz="0" w:space="0"/>
          <w:bottom w:val="none" w:color="auto" w:sz="0" w:space="0"/>
        </w:pBdr>
        <w:kinsoku/>
        <w:wordWrap/>
        <w:overflowPunct/>
        <w:topLinePunct w:val="0"/>
        <w:autoSpaceDE/>
        <w:autoSpaceDN/>
        <w:bidi w:val="0"/>
        <w:adjustRightInd/>
        <w:snapToGrid/>
        <w:spacing w:after="0" w:line="606" w:lineRule="exact"/>
        <w:ind w:firstLine="600" w:firstLineChars="200"/>
        <w:textAlignment w:val="auto"/>
        <w:rPr>
          <w:rFonts w:hint="eastAsia" w:ascii="宋体" w:hAnsi="宋体" w:eastAsia="黑体" w:cs="黑体"/>
          <w:color w:val="auto"/>
          <w:kern w:val="0"/>
          <w:sz w:val="30"/>
          <w:szCs w:val="30"/>
          <w:lang w:val="en-US" w:eastAsia="zh-CN" w:bidi="ar-SA"/>
        </w:rPr>
      </w:pPr>
      <w:r>
        <w:rPr>
          <w:rFonts w:hint="eastAsia" w:ascii="宋体" w:hAnsi="宋体" w:eastAsia="黑体" w:cs="黑体"/>
          <w:color w:val="auto"/>
          <w:kern w:val="0"/>
          <w:sz w:val="30"/>
          <w:szCs w:val="30"/>
          <w:lang w:val="en-US" w:eastAsia="zh-CN" w:bidi="ar-SA"/>
        </w:rPr>
        <w:t>七、保障措施</w:t>
      </w:r>
    </w:p>
    <w:p w14:paraId="112306CE">
      <w:r>
        <w:rPr>
          <w:rFonts w:hint="eastAsia" w:ascii="宋体" w:hAnsi="宋体" w:eastAsia="仿宋_GB2312" w:cs="仿宋_GB2312"/>
          <w:color w:val="auto"/>
          <w:kern w:val="0"/>
          <w:sz w:val="30"/>
          <w:szCs w:val="30"/>
          <w:highlight w:val="none"/>
          <w:lang w:val="en-US" w:eastAsia="zh-CN" w:bidi="ar-SA"/>
        </w:rPr>
        <w:t>实施肉牛养殖收入保险的州（市），应当组织实施县（市、区）建立县域内肉牛市场交易价格采价机制，由州（市）、县（市、区）农业农村局等相关部门负责人、投保养殖户代表及保险公司相关负责人组成市场调查工作小组，通过分析历史价格、按月到集市现场采价等方式，确定约定保险价格及理赔结算价格，完善保险方案报省财政厅备案后实施。</w:t>
      </w:r>
      <w:r>
        <w:rPr>
          <w:rFonts w:hint="eastAsia" w:ascii="宋体" w:hAnsi="宋体" w:eastAsia="黑体" w:cs="黑体"/>
          <w:sz w:val="30"/>
          <w:szCs w:val="30"/>
          <w:lang w:val="en-US" w:eastAsia="zh-CN"/>
        </w:rPr>
        <w:br w:type="page"/>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B8D5FF1"/>
    <w:rsid w:val="001B7932"/>
    <w:rsid w:val="005546D4"/>
    <w:rsid w:val="00635E00"/>
    <w:rsid w:val="007A47C7"/>
    <w:rsid w:val="00C74BC7"/>
    <w:rsid w:val="011B04CB"/>
    <w:rsid w:val="012E3196"/>
    <w:rsid w:val="022126EB"/>
    <w:rsid w:val="02304406"/>
    <w:rsid w:val="0239752D"/>
    <w:rsid w:val="023B15C9"/>
    <w:rsid w:val="03287B0F"/>
    <w:rsid w:val="03B1569D"/>
    <w:rsid w:val="03BF5681"/>
    <w:rsid w:val="03D5141F"/>
    <w:rsid w:val="03D74F2C"/>
    <w:rsid w:val="04031CE6"/>
    <w:rsid w:val="04257102"/>
    <w:rsid w:val="04730F0C"/>
    <w:rsid w:val="04DA7C54"/>
    <w:rsid w:val="050D1E04"/>
    <w:rsid w:val="051D14A5"/>
    <w:rsid w:val="0540015D"/>
    <w:rsid w:val="055A00F9"/>
    <w:rsid w:val="057C0083"/>
    <w:rsid w:val="05AD416A"/>
    <w:rsid w:val="05C00209"/>
    <w:rsid w:val="05DA4FB0"/>
    <w:rsid w:val="0635231F"/>
    <w:rsid w:val="06615612"/>
    <w:rsid w:val="06BF259E"/>
    <w:rsid w:val="07236141"/>
    <w:rsid w:val="074C3239"/>
    <w:rsid w:val="07B61FB5"/>
    <w:rsid w:val="07F37EB9"/>
    <w:rsid w:val="08043D1E"/>
    <w:rsid w:val="084A548F"/>
    <w:rsid w:val="089C4D7B"/>
    <w:rsid w:val="089E0D6F"/>
    <w:rsid w:val="09A02EF2"/>
    <w:rsid w:val="09D4435F"/>
    <w:rsid w:val="09D93B0E"/>
    <w:rsid w:val="0A62328F"/>
    <w:rsid w:val="0A724195"/>
    <w:rsid w:val="0A974C08"/>
    <w:rsid w:val="0A9927FB"/>
    <w:rsid w:val="0AB81290"/>
    <w:rsid w:val="0B2907CD"/>
    <w:rsid w:val="0B8D5FF1"/>
    <w:rsid w:val="0BDA3132"/>
    <w:rsid w:val="0BDB6FA4"/>
    <w:rsid w:val="0BF619D4"/>
    <w:rsid w:val="0C0846B7"/>
    <w:rsid w:val="0C833A46"/>
    <w:rsid w:val="0CF76387"/>
    <w:rsid w:val="0D854721"/>
    <w:rsid w:val="0DFA031D"/>
    <w:rsid w:val="0E0A639A"/>
    <w:rsid w:val="0E1460CD"/>
    <w:rsid w:val="0E432AD7"/>
    <w:rsid w:val="0E616644"/>
    <w:rsid w:val="0E7D75B7"/>
    <w:rsid w:val="0EA071BB"/>
    <w:rsid w:val="0EB5140A"/>
    <w:rsid w:val="0ED820BA"/>
    <w:rsid w:val="0F623180"/>
    <w:rsid w:val="0F890502"/>
    <w:rsid w:val="0F8F4C7D"/>
    <w:rsid w:val="100B7305"/>
    <w:rsid w:val="10216E72"/>
    <w:rsid w:val="10223BC7"/>
    <w:rsid w:val="1057177D"/>
    <w:rsid w:val="10CE6E57"/>
    <w:rsid w:val="10D67B87"/>
    <w:rsid w:val="10F91F6B"/>
    <w:rsid w:val="113F3479"/>
    <w:rsid w:val="115660B9"/>
    <w:rsid w:val="1180031A"/>
    <w:rsid w:val="11AD0F05"/>
    <w:rsid w:val="11DA3A32"/>
    <w:rsid w:val="121E19BE"/>
    <w:rsid w:val="12676E96"/>
    <w:rsid w:val="12786D6D"/>
    <w:rsid w:val="12B77111"/>
    <w:rsid w:val="135770E3"/>
    <w:rsid w:val="136510E1"/>
    <w:rsid w:val="137E7BE3"/>
    <w:rsid w:val="1398694A"/>
    <w:rsid w:val="13E26731"/>
    <w:rsid w:val="140B63D8"/>
    <w:rsid w:val="1423796B"/>
    <w:rsid w:val="14384EC6"/>
    <w:rsid w:val="14B14C50"/>
    <w:rsid w:val="154B352C"/>
    <w:rsid w:val="15A377BD"/>
    <w:rsid w:val="15F14A14"/>
    <w:rsid w:val="164A3786"/>
    <w:rsid w:val="167E720B"/>
    <w:rsid w:val="16AD67A9"/>
    <w:rsid w:val="16CA6A04"/>
    <w:rsid w:val="175E3D60"/>
    <w:rsid w:val="18295234"/>
    <w:rsid w:val="184A4CFA"/>
    <w:rsid w:val="185D0EF8"/>
    <w:rsid w:val="18616B1F"/>
    <w:rsid w:val="18955468"/>
    <w:rsid w:val="189779AC"/>
    <w:rsid w:val="18CA388F"/>
    <w:rsid w:val="18D82398"/>
    <w:rsid w:val="18F7541A"/>
    <w:rsid w:val="18FA29F1"/>
    <w:rsid w:val="18FB4F3D"/>
    <w:rsid w:val="19601618"/>
    <w:rsid w:val="19FF6254"/>
    <w:rsid w:val="1A3C4C9D"/>
    <w:rsid w:val="1A5E32DF"/>
    <w:rsid w:val="1A9752FB"/>
    <w:rsid w:val="1B3F34AE"/>
    <w:rsid w:val="1B40358F"/>
    <w:rsid w:val="1B63376E"/>
    <w:rsid w:val="1C086C36"/>
    <w:rsid w:val="1C331F59"/>
    <w:rsid w:val="1C3E5127"/>
    <w:rsid w:val="1C806976"/>
    <w:rsid w:val="1C977B2E"/>
    <w:rsid w:val="1CCC33D0"/>
    <w:rsid w:val="1CCE78C1"/>
    <w:rsid w:val="1CEB68D7"/>
    <w:rsid w:val="1D48784E"/>
    <w:rsid w:val="1DFC28C2"/>
    <w:rsid w:val="1E353706"/>
    <w:rsid w:val="1E375C40"/>
    <w:rsid w:val="1E4C3B78"/>
    <w:rsid w:val="1EF26200"/>
    <w:rsid w:val="1EF91C65"/>
    <w:rsid w:val="1F122D82"/>
    <w:rsid w:val="1F49266F"/>
    <w:rsid w:val="1F79723E"/>
    <w:rsid w:val="1F9C49D9"/>
    <w:rsid w:val="1FEB440D"/>
    <w:rsid w:val="20337573"/>
    <w:rsid w:val="20436BA7"/>
    <w:rsid w:val="2086783C"/>
    <w:rsid w:val="20BE4DAA"/>
    <w:rsid w:val="219C5739"/>
    <w:rsid w:val="21AA5958"/>
    <w:rsid w:val="21D7395D"/>
    <w:rsid w:val="21F7437C"/>
    <w:rsid w:val="22A93250"/>
    <w:rsid w:val="22C324A4"/>
    <w:rsid w:val="22E5142D"/>
    <w:rsid w:val="22F7430C"/>
    <w:rsid w:val="23797881"/>
    <w:rsid w:val="2385100E"/>
    <w:rsid w:val="23A41AA6"/>
    <w:rsid w:val="23CB2AE2"/>
    <w:rsid w:val="23FF7A2F"/>
    <w:rsid w:val="24127851"/>
    <w:rsid w:val="24496AF5"/>
    <w:rsid w:val="24CA11CF"/>
    <w:rsid w:val="254679A7"/>
    <w:rsid w:val="25640F22"/>
    <w:rsid w:val="25F47A86"/>
    <w:rsid w:val="25FB20FC"/>
    <w:rsid w:val="26473A42"/>
    <w:rsid w:val="268F6368"/>
    <w:rsid w:val="27114D63"/>
    <w:rsid w:val="27A32E7F"/>
    <w:rsid w:val="27FC2285"/>
    <w:rsid w:val="284A14E6"/>
    <w:rsid w:val="28F13B90"/>
    <w:rsid w:val="28FB1785"/>
    <w:rsid w:val="29156B33"/>
    <w:rsid w:val="291F0524"/>
    <w:rsid w:val="296A00B1"/>
    <w:rsid w:val="29AE2BA1"/>
    <w:rsid w:val="29C42C90"/>
    <w:rsid w:val="2A190077"/>
    <w:rsid w:val="2A6C0EB1"/>
    <w:rsid w:val="2A6F6FFC"/>
    <w:rsid w:val="2A944B0E"/>
    <w:rsid w:val="2B415A12"/>
    <w:rsid w:val="2B5A38E2"/>
    <w:rsid w:val="2B5E04CE"/>
    <w:rsid w:val="2BE1291B"/>
    <w:rsid w:val="2C347336"/>
    <w:rsid w:val="2C480BCA"/>
    <w:rsid w:val="2CC8091A"/>
    <w:rsid w:val="2CDE6027"/>
    <w:rsid w:val="2CE0427D"/>
    <w:rsid w:val="2CE35FE5"/>
    <w:rsid w:val="2D2F2051"/>
    <w:rsid w:val="2D492FD0"/>
    <w:rsid w:val="2E2659E4"/>
    <w:rsid w:val="2E7A7AEA"/>
    <w:rsid w:val="2E9D2BB5"/>
    <w:rsid w:val="2EDB40E1"/>
    <w:rsid w:val="2F145AD7"/>
    <w:rsid w:val="2FB23CBD"/>
    <w:rsid w:val="2FD2540F"/>
    <w:rsid w:val="30303C28"/>
    <w:rsid w:val="303C5266"/>
    <w:rsid w:val="305B6016"/>
    <w:rsid w:val="309A0272"/>
    <w:rsid w:val="30FE47CE"/>
    <w:rsid w:val="31743775"/>
    <w:rsid w:val="319F68F4"/>
    <w:rsid w:val="32064FEB"/>
    <w:rsid w:val="323916CF"/>
    <w:rsid w:val="32481C48"/>
    <w:rsid w:val="326572A7"/>
    <w:rsid w:val="32662CCB"/>
    <w:rsid w:val="3272686E"/>
    <w:rsid w:val="3291393F"/>
    <w:rsid w:val="32E955D2"/>
    <w:rsid w:val="330B3B99"/>
    <w:rsid w:val="3311099D"/>
    <w:rsid w:val="331A41E0"/>
    <w:rsid w:val="33256200"/>
    <w:rsid w:val="334540C5"/>
    <w:rsid w:val="33473F51"/>
    <w:rsid w:val="337D0373"/>
    <w:rsid w:val="338D722B"/>
    <w:rsid w:val="339A3C7F"/>
    <w:rsid w:val="339F383F"/>
    <w:rsid w:val="34436819"/>
    <w:rsid w:val="3474327E"/>
    <w:rsid w:val="34C10B81"/>
    <w:rsid w:val="34E7458D"/>
    <w:rsid w:val="34F80983"/>
    <w:rsid w:val="35234BBD"/>
    <w:rsid w:val="35367E26"/>
    <w:rsid w:val="35E35D24"/>
    <w:rsid w:val="35EB79CF"/>
    <w:rsid w:val="363717E3"/>
    <w:rsid w:val="364865F0"/>
    <w:rsid w:val="36862FAB"/>
    <w:rsid w:val="3703767C"/>
    <w:rsid w:val="37147882"/>
    <w:rsid w:val="37183A44"/>
    <w:rsid w:val="37A6451D"/>
    <w:rsid w:val="37F95A23"/>
    <w:rsid w:val="38602AC8"/>
    <w:rsid w:val="38CA791C"/>
    <w:rsid w:val="38DF0F84"/>
    <w:rsid w:val="391723C3"/>
    <w:rsid w:val="391B7BFC"/>
    <w:rsid w:val="393B43E9"/>
    <w:rsid w:val="39FB2037"/>
    <w:rsid w:val="3A051AD0"/>
    <w:rsid w:val="3A181D5F"/>
    <w:rsid w:val="3A1E5668"/>
    <w:rsid w:val="3AB775F6"/>
    <w:rsid w:val="3B2842A5"/>
    <w:rsid w:val="3B721E4F"/>
    <w:rsid w:val="3BD22931"/>
    <w:rsid w:val="3BF378C1"/>
    <w:rsid w:val="3C247835"/>
    <w:rsid w:val="3C3C6F6F"/>
    <w:rsid w:val="3D0071EB"/>
    <w:rsid w:val="3D3777B5"/>
    <w:rsid w:val="3D4202FC"/>
    <w:rsid w:val="3D437950"/>
    <w:rsid w:val="3DA87077"/>
    <w:rsid w:val="3DD72D9E"/>
    <w:rsid w:val="3DF64344"/>
    <w:rsid w:val="3E077402"/>
    <w:rsid w:val="3E0F5B54"/>
    <w:rsid w:val="3E197A8F"/>
    <w:rsid w:val="3E2F0D1E"/>
    <w:rsid w:val="3E390DE4"/>
    <w:rsid w:val="3E3C6A92"/>
    <w:rsid w:val="3E7D33B2"/>
    <w:rsid w:val="3E7D38E5"/>
    <w:rsid w:val="3EC071DA"/>
    <w:rsid w:val="3F143392"/>
    <w:rsid w:val="3F2A0D93"/>
    <w:rsid w:val="3F3159CE"/>
    <w:rsid w:val="3FFF20BE"/>
    <w:rsid w:val="403C6BA8"/>
    <w:rsid w:val="409B2186"/>
    <w:rsid w:val="427B11F5"/>
    <w:rsid w:val="430F1C4F"/>
    <w:rsid w:val="432C00CB"/>
    <w:rsid w:val="435A2A30"/>
    <w:rsid w:val="43624617"/>
    <w:rsid w:val="438E12FC"/>
    <w:rsid w:val="43D95954"/>
    <w:rsid w:val="43FD322F"/>
    <w:rsid w:val="44045862"/>
    <w:rsid w:val="44335DBA"/>
    <w:rsid w:val="444B6A2F"/>
    <w:rsid w:val="44B63ECB"/>
    <w:rsid w:val="44EB711D"/>
    <w:rsid w:val="450671F5"/>
    <w:rsid w:val="456C3385"/>
    <w:rsid w:val="456D2780"/>
    <w:rsid w:val="45AA2F2C"/>
    <w:rsid w:val="45AC55FD"/>
    <w:rsid w:val="45BA5661"/>
    <w:rsid w:val="45CE7426"/>
    <w:rsid w:val="460651F5"/>
    <w:rsid w:val="462F57C9"/>
    <w:rsid w:val="465B190B"/>
    <w:rsid w:val="46817D77"/>
    <w:rsid w:val="46864003"/>
    <w:rsid w:val="46AB0986"/>
    <w:rsid w:val="46B127A3"/>
    <w:rsid w:val="46D74346"/>
    <w:rsid w:val="46E11F8F"/>
    <w:rsid w:val="47097E4C"/>
    <w:rsid w:val="47CC09E2"/>
    <w:rsid w:val="47D56408"/>
    <w:rsid w:val="481532A8"/>
    <w:rsid w:val="482D43FC"/>
    <w:rsid w:val="48646920"/>
    <w:rsid w:val="488F4B06"/>
    <w:rsid w:val="489736AD"/>
    <w:rsid w:val="48EE4DC1"/>
    <w:rsid w:val="490D5E88"/>
    <w:rsid w:val="49540487"/>
    <w:rsid w:val="49595EF6"/>
    <w:rsid w:val="49E93BAD"/>
    <w:rsid w:val="4A3378F4"/>
    <w:rsid w:val="4A3B64EC"/>
    <w:rsid w:val="4A494400"/>
    <w:rsid w:val="4AD20EFB"/>
    <w:rsid w:val="4AF42591"/>
    <w:rsid w:val="4B10680C"/>
    <w:rsid w:val="4B462E7C"/>
    <w:rsid w:val="4B5478BD"/>
    <w:rsid w:val="4B835D29"/>
    <w:rsid w:val="4BF1403D"/>
    <w:rsid w:val="4BF3005D"/>
    <w:rsid w:val="4D030E4B"/>
    <w:rsid w:val="4D856FCB"/>
    <w:rsid w:val="4E044448"/>
    <w:rsid w:val="4E0C2ED7"/>
    <w:rsid w:val="4E9F64D6"/>
    <w:rsid w:val="4EC85D58"/>
    <w:rsid w:val="4F1A0075"/>
    <w:rsid w:val="4F2C201C"/>
    <w:rsid w:val="4FDC07CD"/>
    <w:rsid w:val="503A58E7"/>
    <w:rsid w:val="505A7568"/>
    <w:rsid w:val="50C6593E"/>
    <w:rsid w:val="50CA3A49"/>
    <w:rsid w:val="50F47762"/>
    <w:rsid w:val="514569E5"/>
    <w:rsid w:val="516A0255"/>
    <w:rsid w:val="51E54ADE"/>
    <w:rsid w:val="52037B49"/>
    <w:rsid w:val="52050B8F"/>
    <w:rsid w:val="52467058"/>
    <w:rsid w:val="524B5C49"/>
    <w:rsid w:val="526D3677"/>
    <w:rsid w:val="529F4E9B"/>
    <w:rsid w:val="52E8739F"/>
    <w:rsid w:val="536B7406"/>
    <w:rsid w:val="53C86535"/>
    <w:rsid w:val="54976C4B"/>
    <w:rsid w:val="54A66F81"/>
    <w:rsid w:val="54C52267"/>
    <w:rsid w:val="54CF6424"/>
    <w:rsid w:val="54DC3D13"/>
    <w:rsid w:val="54FB11E8"/>
    <w:rsid w:val="55A40194"/>
    <w:rsid w:val="56210C1D"/>
    <w:rsid w:val="56326793"/>
    <w:rsid w:val="56C40C2F"/>
    <w:rsid w:val="56D65F6C"/>
    <w:rsid w:val="56E77551"/>
    <w:rsid w:val="572E16FC"/>
    <w:rsid w:val="57321082"/>
    <w:rsid w:val="576A4458"/>
    <w:rsid w:val="578800FC"/>
    <w:rsid w:val="57D237B9"/>
    <w:rsid w:val="58B41244"/>
    <w:rsid w:val="58B75B62"/>
    <w:rsid w:val="58BA3695"/>
    <w:rsid w:val="58F96790"/>
    <w:rsid w:val="593A584D"/>
    <w:rsid w:val="594154D2"/>
    <w:rsid w:val="59503200"/>
    <w:rsid w:val="59957B60"/>
    <w:rsid w:val="59A21EC6"/>
    <w:rsid w:val="59DD1339"/>
    <w:rsid w:val="5A2F77A1"/>
    <w:rsid w:val="5A761D9E"/>
    <w:rsid w:val="5B0F33D4"/>
    <w:rsid w:val="5B8E215A"/>
    <w:rsid w:val="5BAC2E9B"/>
    <w:rsid w:val="5BC34F8C"/>
    <w:rsid w:val="5BE82AFB"/>
    <w:rsid w:val="5C376142"/>
    <w:rsid w:val="5C444D47"/>
    <w:rsid w:val="5C5A41B8"/>
    <w:rsid w:val="5D3C5A49"/>
    <w:rsid w:val="5D470242"/>
    <w:rsid w:val="5D65626D"/>
    <w:rsid w:val="5D863933"/>
    <w:rsid w:val="5D8863D2"/>
    <w:rsid w:val="5DBF627A"/>
    <w:rsid w:val="5E120E55"/>
    <w:rsid w:val="5E5E3EDA"/>
    <w:rsid w:val="5E717691"/>
    <w:rsid w:val="5E9D3A7D"/>
    <w:rsid w:val="5EE601D7"/>
    <w:rsid w:val="5F492B85"/>
    <w:rsid w:val="5F4F7C48"/>
    <w:rsid w:val="5F5E19EE"/>
    <w:rsid w:val="5F9A24EE"/>
    <w:rsid w:val="5FFC1C44"/>
    <w:rsid w:val="6040355A"/>
    <w:rsid w:val="60735D0A"/>
    <w:rsid w:val="607D6644"/>
    <w:rsid w:val="609A0DF0"/>
    <w:rsid w:val="60CF59DB"/>
    <w:rsid w:val="60E46184"/>
    <w:rsid w:val="611862CD"/>
    <w:rsid w:val="61430D80"/>
    <w:rsid w:val="616C6E52"/>
    <w:rsid w:val="61834E9E"/>
    <w:rsid w:val="61A8250E"/>
    <w:rsid w:val="61B779DD"/>
    <w:rsid w:val="621651D2"/>
    <w:rsid w:val="6274609D"/>
    <w:rsid w:val="627E7605"/>
    <w:rsid w:val="633D2524"/>
    <w:rsid w:val="6340542F"/>
    <w:rsid w:val="63513248"/>
    <w:rsid w:val="63812EA6"/>
    <w:rsid w:val="63B81540"/>
    <w:rsid w:val="63C17BBE"/>
    <w:rsid w:val="643A4137"/>
    <w:rsid w:val="64E65D7C"/>
    <w:rsid w:val="65714F13"/>
    <w:rsid w:val="659C7441"/>
    <w:rsid w:val="668C38D8"/>
    <w:rsid w:val="66EA5E5C"/>
    <w:rsid w:val="67267B78"/>
    <w:rsid w:val="67854E2A"/>
    <w:rsid w:val="67FB2920"/>
    <w:rsid w:val="681E4916"/>
    <w:rsid w:val="688C5FD1"/>
    <w:rsid w:val="691A3632"/>
    <w:rsid w:val="69516D5F"/>
    <w:rsid w:val="697C73E1"/>
    <w:rsid w:val="69B4010B"/>
    <w:rsid w:val="69E13BAA"/>
    <w:rsid w:val="69E51513"/>
    <w:rsid w:val="6A527D4F"/>
    <w:rsid w:val="6ABF392C"/>
    <w:rsid w:val="6B331F90"/>
    <w:rsid w:val="6B541907"/>
    <w:rsid w:val="6B56284E"/>
    <w:rsid w:val="6B595BDD"/>
    <w:rsid w:val="6BC431B7"/>
    <w:rsid w:val="6BC96569"/>
    <w:rsid w:val="6C407012"/>
    <w:rsid w:val="6C602D97"/>
    <w:rsid w:val="6C794DFE"/>
    <w:rsid w:val="6C962A4D"/>
    <w:rsid w:val="6C9E0C9F"/>
    <w:rsid w:val="6CE96E46"/>
    <w:rsid w:val="6D2846C9"/>
    <w:rsid w:val="6D2F2F7D"/>
    <w:rsid w:val="6E053DBD"/>
    <w:rsid w:val="6E4B225C"/>
    <w:rsid w:val="6E5C3425"/>
    <w:rsid w:val="6EEE451A"/>
    <w:rsid w:val="6F326E58"/>
    <w:rsid w:val="6F3C0B24"/>
    <w:rsid w:val="6F517FAA"/>
    <w:rsid w:val="6F5934C4"/>
    <w:rsid w:val="6FBE1FD2"/>
    <w:rsid w:val="6FD80481"/>
    <w:rsid w:val="708F432E"/>
    <w:rsid w:val="70BA5B56"/>
    <w:rsid w:val="70D678E2"/>
    <w:rsid w:val="70DE7EBC"/>
    <w:rsid w:val="70ED7FE3"/>
    <w:rsid w:val="710937D8"/>
    <w:rsid w:val="71215F49"/>
    <w:rsid w:val="714566CD"/>
    <w:rsid w:val="72236713"/>
    <w:rsid w:val="726478B6"/>
    <w:rsid w:val="726C7788"/>
    <w:rsid w:val="727275EF"/>
    <w:rsid w:val="72813003"/>
    <w:rsid w:val="728661BD"/>
    <w:rsid w:val="729C1D30"/>
    <w:rsid w:val="73504BDF"/>
    <w:rsid w:val="73510455"/>
    <w:rsid w:val="736253FB"/>
    <w:rsid w:val="736A4915"/>
    <w:rsid w:val="736C240E"/>
    <w:rsid w:val="73B50536"/>
    <w:rsid w:val="74251BDC"/>
    <w:rsid w:val="745F52E7"/>
    <w:rsid w:val="74731122"/>
    <w:rsid w:val="74A5519C"/>
    <w:rsid w:val="74EC3198"/>
    <w:rsid w:val="75087284"/>
    <w:rsid w:val="75AC58E1"/>
    <w:rsid w:val="75DA6217"/>
    <w:rsid w:val="75E25FA2"/>
    <w:rsid w:val="75F05766"/>
    <w:rsid w:val="762363F6"/>
    <w:rsid w:val="763A0BF6"/>
    <w:rsid w:val="76A449F6"/>
    <w:rsid w:val="77281FEE"/>
    <w:rsid w:val="77DA5AC6"/>
    <w:rsid w:val="77EB4D7B"/>
    <w:rsid w:val="78025003"/>
    <w:rsid w:val="78326E6A"/>
    <w:rsid w:val="78471FE1"/>
    <w:rsid w:val="78A57B7B"/>
    <w:rsid w:val="78A84346"/>
    <w:rsid w:val="7923098F"/>
    <w:rsid w:val="797C0C9E"/>
    <w:rsid w:val="79C52305"/>
    <w:rsid w:val="7A450DFE"/>
    <w:rsid w:val="7A5473A4"/>
    <w:rsid w:val="7AB95ABF"/>
    <w:rsid w:val="7B0A3F04"/>
    <w:rsid w:val="7B1727C7"/>
    <w:rsid w:val="7B70337F"/>
    <w:rsid w:val="7B953934"/>
    <w:rsid w:val="7C236022"/>
    <w:rsid w:val="7C6B3778"/>
    <w:rsid w:val="7C724246"/>
    <w:rsid w:val="7C8C3248"/>
    <w:rsid w:val="7CB750CB"/>
    <w:rsid w:val="7D144EEA"/>
    <w:rsid w:val="7D2E4979"/>
    <w:rsid w:val="7D6C760A"/>
    <w:rsid w:val="7DA20B35"/>
    <w:rsid w:val="7DF32C82"/>
    <w:rsid w:val="7EA54A11"/>
    <w:rsid w:val="7EBF25B5"/>
    <w:rsid w:val="7EEE545B"/>
    <w:rsid w:val="7F131B2C"/>
    <w:rsid w:val="7F3209C0"/>
    <w:rsid w:val="7FD56A23"/>
    <w:rsid w:val="7FDB024B"/>
    <w:rsid w:val="7FF76B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160" w:line="259" w:lineRule="auto"/>
      <w:jc w:val="both"/>
    </w:pPr>
    <w:rPr>
      <w:rFonts w:ascii="Calibri" w:hAnsi="Calibri" w:eastAsia="宋体" w:cs="Times New Roman"/>
      <w:kern w:val="2"/>
      <w:sz w:val="21"/>
      <w:szCs w:val="22"/>
      <w:lang w:eastAsia="zh-CN"/>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0"/>
    <w:pPr>
      <w:ind w:firstLine="630"/>
    </w:pPr>
    <w:rPr>
      <w:rFonts w:ascii="Times New Roman" w:hAnsi="Times New Roman" w:eastAsia="仿宋_GB2312"/>
      <w:kern w:val="0"/>
      <w:sz w:val="32"/>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云南省林业厅</Company>
  <Pages>5</Pages>
  <Words>0</Words>
  <Characters>0</Characters>
  <Lines>0</Lines>
  <Paragraphs>0</Paragraphs>
  <TotalTime>0</TotalTime>
  <ScaleCrop>false</ScaleCrop>
  <LinksUpToDate>false</LinksUpToDate>
  <CharactersWithSpaces>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2025-12-10T10:06:00Z</dcterms:created>
  <dc:creator>刘丹妮</dc:creator>
  <cp:lastModifiedBy>刘丹妮</cp:lastModifiedBy>
  <dcterms:modified xsi:type="dcterms:W3CDTF">2025-12-10T10:07:09Z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13BE2D925B9E44CE9B70699E27622AF6_11</vt:lpwstr>
  </property>
  <property fmtid="{D5CDD505-2E9C-101B-9397-08002B2CF9AE}" pid="4" name="KSOTemplateDocerSaveRecord">
    <vt:lpwstr>eyJoZGlkIjoiZmNmM2Y3MTdkMmUxMzNmYmJkMWE3ZGExZDEyZmYzMDEiLCJ1c2VySWQiOiI0NTM1MDUxNDkifQ==</vt:lpwstr>
  </property>
</Properties>
</file>