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D2C33">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0" w:firstLineChars="0"/>
        <w:textAlignment w:val="auto"/>
        <w:rPr>
          <w:rFonts w:hint="default" w:ascii="宋体" w:hAnsi="宋体" w:eastAsia="黑体" w:cs="黑体"/>
          <w:b w:val="0"/>
          <w:bCs w:val="0"/>
          <w:color w:val="auto"/>
          <w:sz w:val="30"/>
          <w:szCs w:val="30"/>
          <w:u w:val="none"/>
          <w:lang w:val="en-US" w:eastAsia="zh-CN"/>
        </w:rPr>
      </w:pPr>
      <w:r>
        <w:rPr>
          <w:rFonts w:hint="eastAsia" w:ascii="宋体" w:hAnsi="宋体" w:eastAsia="黑体" w:cs="黑体"/>
          <w:b w:val="0"/>
          <w:bCs w:val="0"/>
          <w:color w:val="auto"/>
          <w:sz w:val="30"/>
          <w:szCs w:val="30"/>
          <w:u w:val="none"/>
          <w:lang w:val="en-US" w:eastAsia="zh-CN"/>
        </w:rPr>
        <w:t>附件</w:t>
      </w:r>
      <w:r>
        <w:rPr>
          <w:rFonts w:hint="eastAsia" w:ascii="宋体" w:hAnsi="宋体" w:eastAsia="宋体" w:cs="宋体"/>
          <w:b w:val="0"/>
          <w:bCs w:val="0"/>
          <w:color w:val="auto"/>
          <w:sz w:val="30"/>
          <w:szCs w:val="30"/>
          <w:u w:val="none"/>
          <w:lang w:val="en-US" w:eastAsia="zh-CN"/>
        </w:rPr>
        <w:t>2</w:t>
      </w:r>
    </w:p>
    <w:p w14:paraId="7CA65331">
      <w:pPr>
        <w:keepNext w:val="0"/>
        <w:keepLines w:val="0"/>
        <w:pageBreakBefore w:val="0"/>
        <w:widowControl/>
        <w:pBdr>
          <w:top w:val="none" w:color="auto" w:sz="0" w:space="0"/>
          <w:bottom w:val="none" w:color="auto" w:sz="0" w:space="0"/>
        </w:pBdr>
        <w:kinsoku/>
        <w:wordWrap/>
        <w:overflowPunct/>
        <w:topLinePunct w:val="0"/>
        <w:autoSpaceDE/>
        <w:autoSpaceDN/>
        <w:bidi w:val="0"/>
        <w:adjustRightInd/>
        <w:snapToGrid/>
        <w:spacing w:before="0" w:after="0" w:line="606" w:lineRule="exact"/>
        <w:ind w:right="0" w:rightChars="0" w:firstLine="0" w:firstLineChars="0"/>
        <w:contextualSpacing/>
        <w:jc w:val="both"/>
        <w:textAlignment w:val="auto"/>
        <w:outlineLvl w:val="0"/>
        <w:rPr>
          <w:rFonts w:hint="eastAsia" w:ascii="宋体" w:hAnsi="宋体" w:eastAsia="方正小标宋简体" w:cs="方正小标宋简体"/>
          <w:b w:val="0"/>
          <w:bCs w:val="0"/>
          <w:color w:val="auto"/>
          <w:kern w:val="2"/>
          <w:sz w:val="36"/>
          <w:szCs w:val="36"/>
          <w:u w:val="none"/>
          <w:lang w:eastAsia="zh-CN" w:bidi="ar-SA"/>
        </w:rPr>
      </w:pPr>
      <w:bookmarkStart w:id="0" w:name="_Toc23361"/>
    </w:p>
    <w:bookmarkEnd w:id="0"/>
    <w:p w14:paraId="7FDFC90F">
      <w:pPr>
        <w:keepNext w:val="0"/>
        <w:keepLines w:val="0"/>
        <w:pageBreakBefore w:val="0"/>
        <w:widowControl/>
        <w:pBdr>
          <w:top w:val="none" w:color="auto" w:sz="0" w:space="0"/>
          <w:bottom w:val="none" w:color="auto" w:sz="0" w:space="0"/>
        </w:pBdr>
        <w:kinsoku/>
        <w:wordWrap/>
        <w:overflowPunct/>
        <w:topLinePunct w:val="0"/>
        <w:autoSpaceDE/>
        <w:autoSpaceDN/>
        <w:bidi w:val="0"/>
        <w:adjustRightInd/>
        <w:snapToGrid/>
        <w:spacing w:before="0" w:after="0" w:line="606" w:lineRule="exact"/>
        <w:ind w:right="0" w:rightChars="0" w:firstLine="0" w:firstLineChars="0"/>
        <w:contextualSpacing/>
        <w:jc w:val="center"/>
        <w:textAlignment w:val="auto"/>
        <w:outlineLvl w:val="0"/>
        <w:rPr>
          <w:rFonts w:hint="eastAsia" w:ascii="宋体" w:hAnsi="宋体" w:eastAsia="华文中宋" w:cs="华文中宋"/>
          <w:b w:val="0"/>
          <w:bCs w:val="0"/>
          <w:color w:val="auto"/>
          <w:spacing w:val="11"/>
          <w:kern w:val="0"/>
          <w:sz w:val="40"/>
          <w:szCs w:val="40"/>
          <w:u w:val="none"/>
          <w:lang w:val="en-US" w:eastAsia="zh-CN" w:bidi="ar-SA"/>
        </w:rPr>
      </w:pPr>
      <w:bookmarkStart w:id="1" w:name="_Toc10222"/>
      <w:r>
        <w:rPr>
          <w:rFonts w:hint="eastAsia" w:ascii="宋体" w:hAnsi="宋体" w:eastAsia="方正小标宋简体" w:cs="方正小标宋简体"/>
          <w:b w:val="0"/>
          <w:bCs w:val="0"/>
          <w:color w:val="auto"/>
          <w:spacing w:val="11"/>
          <w:kern w:val="2"/>
          <w:sz w:val="40"/>
          <w:szCs w:val="40"/>
          <w:u w:val="none"/>
          <w:lang w:eastAsia="zh-CN" w:bidi="ar-SA"/>
        </w:rPr>
        <w:t>云南省农业保险承保机构遴选提供材料清单</w:t>
      </w:r>
    </w:p>
    <w:p w14:paraId="3DCBA3FA">
      <w:pPr>
        <w:keepNext w:val="0"/>
        <w:keepLines w:val="0"/>
        <w:pageBreakBefore w:val="0"/>
        <w:widowControl/>
        <w:pBdr>
          <w:top w:val="none" w:color="auto" w:sz="0" w:space="0"/>
          <w:bottom w:val="none" w:color="auto" w:sz="0" w:space="0"/>
        </w:pBdr>
        <w:kinsoku/>
        <w:wordWrap/>
        <w:overflowPunct/>
        <w:topLinePunct w:val="0"/>
        <w:autoSpaceDE/>
        <w:autoSpaceDN/>
        <w:bidi w:val="0"/>
        <w:adjustRightInd/>
        <w:snapToGrid/>
        <w:spacing w:before="0" w:after="0" w:line="606" w:lineRule="exact"/>
        <w:ind w:right="0" w:rightChars="0" w:firstLine="640" w:firstLineChars="200"/>
        <w:contextualSpacing/>
        <w:jc w:val="center"/>
        <w:textAlignment w:val="auto"/>
        <w:outlineLvl w:val="0"/>
        <w:rPr>
          <w:rFonts w:hint="eastAsia" w:ascii="宋体" w:hAnsi="宋体" w:eastAsia="华文中宋" w:cs="华文中宋"/>
          <w:b w:val="0"/>
          <w:bCs w:val="0"/>
          <w:color w:val="auto"/>
          <w:kern w:val="0"/>
          <w:sz w:val="32"/>
          <w:szCs w:val="32"/>
          <w:u w:val="none"/>
          <w:lang w:val="en-US" w:eastAsia="zh-CN" w:bidi="ar-SA"/>
        </w:rPr>
      </w:pPr>
    </w:p>
    <w:p w14:paraId="001C4B7E">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黑体" w:cs="黑体"/>
          <w:b w:val="0"/>
          <w:bCs w:val="0"/>
          <w:color w:val="auto"/>
          <w:kern w:val="2"/>
          <w:sz w:val="30"/>
          <w:szCs w:val="30"/>
          <w:u w:val="none"/>
          <w:lang w:val="en-US" w:eastAsia="zh-CN" w:bidi="ar-SA"/>
        </w:rPr>
      </w:pPr>
      <w:r>
        <w:rPr>
          <w:rFonts w:hint="eastAsia" w:ascii="宋体" w:hAnsi="宋体" w:eastAsia="黑体" w:cs="黑体"/>
          <w:b w:val="0"/>
          <w:bCs w:val="0"/>
          <w:color w:val="auto"/>
          <w:kern w:val="2"/>
          <w:sz w:val="30"/>
          <w:szCs w:val="30"/>
          <w:u w:val="none"/>
          <w:lang w:val="en-US" w:eastAsia="zh-CN" w:bidi="ar-SA"/>
        </w:rPr>
        <w:t>一、</w:t>
      </w:r>
      <w:bookmarkEnd w:id="1"/>
      <w:r>
        <w:rPr>
          <w:rFonts w:hint="eastAsia" w:ascii="宋体" w:hAnsi="宋体" w:eastAsia="黑体" w:cs="黑体"/>
          <w:b w:val="0"/>
          <w:bCs w:val="0"/>
          <w:color w:val="auto"/>
          <w:kern w:val="2"/>
          <w:sz w:val="30"/>
          <w:szCs w:val="30"/>
          <w:u w:val="none"/>
          <w:lang w:val="en-US" w:eastAsia="zh-CN" w:bidi="ar-SA"/>
        </w:rPr>
        <w:t>资格证明文件（复印件加盖公章）</w:t>
      </w:r>
    </w:p>
    <w:p w14:paraId="0077ED1B">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（一）营业执照副本，法定代表人（负责人）授权委托书，金融监管机构颁发的《经营保险业务许可证》。</w:t>
      </w:r>
    </w:p>
    <w:p w14:paraId="3C8DF90D">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（二）上级总公司与中国农业再保险股份有限公司（以下简称中国农再）约定分保业务信息系统进行对接的证明材料。</w:t>
      </w:r>
    </w:p>
    <w:p w14:paraId="2C9D22B6">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（三）上级总公司与中国农再签署的《政策性农业保险再保险标准协议》。</w:t>
      </w:r>
    </w:p>
    <w:p w14:paraId="5E436677">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（四）银行开具的银行资信证明、最近两个年度财务审计报告，包括资产负债表、利润（损益）表、现金流量表、所有者权益变动表（若有）及其附注。</w:t>
      </w:r>
    </w:p>
    <w:p w14:paraId="3F8EE8FC">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（五）由相关主管部门出具的最近一个年度内任意三个月缴纳社会保障资金的凭据（专用收据或社会保险缴纳清单）（在本项目公告发布之日前不需要缴纳社会保障资金的，提供不需要缴纳社会保障金声明函）。</w:t>
      </w:r>
    </w:p>
    <w:p w14:paraId="0491EFD3">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（六）最近一个年度内任意三个月依法缴纳税收的缴税凭据，如免纳税的，提供免纳税声明函。</w:t>
      </w:r>
    </w:p>
    <w:p w14:paraId="1EFCA72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（七）近三年经营活动中没有重大违法记录声明原件。</w:t>
      </w:r>
    </w:p>
    <w:p w14:paraId="58CDD879">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（八）信用中国（https：//www.creditchina.gov.cn）平台上无失信记录（未被列入失信被执行人名单、重大税收违法案件当事人名单）截图。</w:t>
      </w:r>
    </w:p>
    <w:p w14:paraId="405943FB">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00" w:firstLineChars="200"/>
        <w:jc w:val="both"/>
        <w:textAlignment w:val="auto"/>
        <w:rPr>
          <w:rFonts w:hint="eastAsia" w:ascii="宋体" w:hAnsi="宋体" w:eastAsia="黑体" w:cs="黑体"/>
          <w:b w:val="0"/>
          <w:bCs w:val="0"/>
          <w:color w:val="auto"/>
          <w:kern w:val="2"/>
          <w:sz w:val="30"/>
          <w:szCs w:val="30"/>
          <w:u w:val="none"/>
          <w:lang w:val="en-US" w:eastAsia="zh-CN" w:bidi="ar-SA"/>
        </w:rPr>
      </w:pPr>
      <w:r>
        <w:rPr>
          <w:rFonts w:hint="eastAsia" w:ascii="宋体" w:hAnsi="宋体" w:eastAsia="黑体" w:cs="黑体"/>
          <w:b w:val="0"/>
          <w:bCs w:val="0"/>
          <w:color w:val="auto"/>
          <w:kern w:val="2"/>
          <w:sz w:val="30"/>
          <w:szCs w:val="30"/>
          <w:u w:val="none"/>
          <w:lang w:val="en-US" w:eastAsia="zh-CN" w:bidi="ar-SA"/>
        </w:rPr>
        <w:t>二、技术文件</w:t>
      </w:r>
    </w:p>
    <w:p w14:paraId="76C18F00">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（一）保险机构服务能力情况，包括简单赔付率、综合费用率、精准承保理赔、投保覆盖率、防灾减损等。</w:t>
      </w:r>
    </w:p>
    <w:p w14:paraId="4460C8AA">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（二）保险机构管理水平，包括制度建设、承保利润率、服务方案、农业保险科技投入等。</w:t>
      </w:r>
    </w:p>
    <w:p w14:paraId="17EA7D97">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600" w:firstLineChars="200"/>
        <w:jc w:val="both"/>
        <w:textAlignment w:val="auto"/>
        <w:rPr>
          <w:rFonts w:hint="eastAsia" w:ascii="宋体" w:hAnsi="宋体" w:eastAsia="仿宋_GB2312" w:cs="仿宋_GB2312"/>
          <w:b w:val="0"/>
          <w:bCs w:val="0"/>
          <w:color w:val="auto"/>
          <w:kern w:val="2"/>
          <w:sz w:val="30"/>
          <w:szCs w:val="30"/>
          <w:u w:val="none"/>
          <w:lang w:val="en-US" w:eastAsia="zh-CN" w:bidi="ar-SA"/>
        </w:rPr>
      </w:pPr>
      <w:r>
        <w:rPr>
          <w:rFonts w:hint="eastAsia" w:ascii="宋体" w:hAnsi="宋体" w:eastAsia="仿宋_GB2312" w:cs="仿宋_GB2312"/>
          <w:b w:val="0"/>
          <w:bCs w:val="0"/>
          <w:color w:val="auto"/>
          <w:kern w:val="2"/>
          <w:sz w:val="30"/>
          <w:szCs w:val="30"/>
          <w:u w:val="none"/>
          <w:lang w:val="en-US" w:eastAsia="zh-CN" w:bidi="ar-SA"/>
        </w:rPr>
        <w:t>（三）有必要说明的其他内容。</w:t>
      </w:r>
    </w:p>
    <w:p w14:paraId="68B9665C">
      <w:bookmarkStart w:id="2" w:name="_GoBack"/>
      <w:bookmarkEnd w:id="2"/>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63007"/>
    <w:rsid w:val="6BB63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2025-12-11T02:40:00Z</dcterms:created>
  <dc:creator>张雯</dc:creator>
  <cp:lastModifiedBy>张雯</cp:lastModifiedBy>
  <dcterms:modified xsi:type="dcterms:W3CDTF">2025-12-11T02:40:53Z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666823544540463B81A4816B981A5A0E_11</vt:lpwstr>
  </property>
  <property fmtid="{D5CDD505-2E9C-101B-9397-08002B2CF9AE}" pid="4" name="KSOTemplateDocerSaveRecord">
    <vt:lpwstr>eyJoZGlkIjoiZDE2MzNhZmFkOGRlZDE3MGM4MmZjNjJiZGRmMTkwMWMiLCJ1c2VySWQiOiIyNzc0MjY2MjIifQ==</vt:lpwstr>
  </property>
</Properties>
</file>