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E53D7C">
      <w:pPr>
        <w:spacing w:line="600" w:lineRule="exact"/>
        <w:ind w:firstLine="880" w:firstLineChars="200"/>
        <w:jc w:val="center"/>
        <w:rPr>
          <w:rFonts w:hint="eastAsia" w:ascii="宋体" w:hAnsi="宋体" w:eastAsia="方正小标宋_GBK" w:cs="方正小标宋_GBK"/>
          <w:snapToGrid w:val="0"/>
          <w:color w:val="000000"/>
          <w:sz w:val="44"/>
          <w:szCs w:val="44"/>
          <w:highlight w:val="none"/>
        </w:rPr>
      </w:pPr>
      <w:bookmarkStart w:id="1" w:name="_GoBack"/>
      <w:bookmarkEnd w:id="1"/>
      <w:bookmarkStart w:id="0" w:name="OLE_LINK94"/>
    </w:p>
    <w:p w14:paraId="324D3432">
      <w:pPr>
        <w:spacing w:line="600" w:lineRule="exact"/>
        <w:ind w:firstLine="0" w:firstLineChars="0"/>
        <w:jc w:val="center"/>
        <w:rPr>
          <w:rFonts w:hint="eastAsia" w:ascii="宋体" w:hAnsi="宋体" w:eastAsia="方正小标宋_GBK" w:cs="方正小标宋_GBK"/>
          <w:snapToGrid w:val="0"/>
          <w:color w:val="000000"/>
          <w:sz w:val="44"/>
          <w:szCs w:val="44"/>
          <w:highlight w:val="none"/>
        </w:rPr>
      </w:pPr>
      <w:r>
        <w:rPr>
          <w:rFonts w:hint="eastAsia" w:ascii="宋体" w:hAnsi="宋体" w:eastAsia="方正小标宋_GBK" w:cs="方正小标宋_GBK"/>
          <w:snapToGrid w:val="0"/>
          <w:color w:val="000000"/>
          <w:sz w:val="44"/>
          <w:szCs w:val="44"/>
          <w:highlight w:val="none"/>
        </w:rPr>
        <w:t>云南省光伏项目区草原植被保护恢复</w:t>
      </w:r>
    </w:p>
    <w:p w14:paraId="50C32A3D">
      <w:pPr>
        <w:spacing w:line="600" w:lineRule="exact"/>
        <w:ind w:firstLine="0" w:firstLineChars="0"/>
        <w:jc w:val="center"/>
        <w:rPr>
          <w:rFonts w:hint="eastAsia" w:ascii="宋体" w:hAnsi="宋体" w:eastAsia="方正小标宋_GBK" w:cs="方正小标宋_GBK"/>
          <w:snapToGrid w:val="0"/>
          <w:color w:val="000000"/>
          <w:sz w:val="44"/>
          <w:szCs w:val="44"/>
          <w:highlight w:val="none"/>
        </w:rPr>
      </w:pPr>
      <w:r>
        <w:rPr>
          <w:rFonts w:hint="eastAsia" w:ascii="宋体" w:hAnsi="宋体" w:eastAsia="方正小标宋_GBK" w:cs="方正小标宋_GBK"/>
          <w:snapToGrid w:val="0"/>
          <w:color w:val="000000"/>
          <w:sz w:val="44"/>
          <w:szCs w:val="44"/>
          <w:highlight w:val="none"/>
        </w:rPr>
        <w:t>技术指南</w:t>
      </w:r>
    </w:p>
    <w:p w14:paraId="08D9549F">
      <w:pPr>
        <w:spacing w:line="600" w:lineRule="exact"/>
        <w:ind w:firstLine="640" w:firstLineChars="200"/>
        <w:rPr>
          <w:rFonts w:hint="eastAsia" w:ascii="宋体" w:hAnsi="宋体" w:eastAsia="方正仿宋_GBK" w:cs="方正仿宋_GBK"/>
          <w:snapToGrid w:val="0"/>
          <w:color w:val="000000"/>
          <w:sz w:val="32"/>
          <w:szCs w:val="32"/>
          <w:highlight w:val="none"/>
        </w:rPr>
      </w:pPr>
    </w:p>
    <w:p w14:paraId="52A91EE0">
      <w:pPr>
        <w:spacing w:line="600" w:lineRule="exact"/>
        <w:ind w:firstLine="640"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snapToGrid w:val="0"/>
          <w:color w:val="000000"/>
          <w:sz w:val="32"/>
          <w:szCs w:val="32"/>
          <w:highlight w:val="none"/>
        </w:rPr>
        <w:t>为规范光伏项目区草原管理，促进草原生态系统</w:t>
      </w:r>
      <w:r>
        <w:rPr>
          <w:rFonts w:hint="eastAsia" w:ascii="宋体" w:hAnsi="宋体" w:eastAsia="方正仿宋_GBK" w:cs="方正仿宋_GBK"/>
          <w:snapToGrid w:val="0"/>
          <w:color w:val="000000"/>
          <w:sz w:val="32"/>
          <w:szCs w:val="32"/>
          <w:highlight w:val="none"/>
          <w:lang w:eastAsia="zh-CN"/>
        </w:rPr>
        <w:t>保护</w:t>
      </w:r>
      <w:r>
        <w:rPr>
          <w:rFonts w:hint="eastAsia" w:ascii="宋体" w:hAnsi="宋体" w:eastAsia="方正仿宋_GBK" w:cs="方正仿宋_GBK"/>
          <w:snapToGrid w:val="0"/>
          <w:color w:val="000000"/>
          <w:sz w:val="32"/>
          <w:szCs w:val="32"/>
          <w:highlight w:val="none"/>
        </w:rPr>
        <w:t>恢复和</w:t>
      </w:r>
      <w:r>
        <w:rPr>
          <w:rFonts w:hint="eastAsia" w:ascii="宋体" w:hAnsi="宋体" w:eastAsia="方正仿宋_GBK" w:cs="方正仿宋_GBK"/>
          <w:snapToGrid w:val="0"/>
          <w:color w:val="000000"/>
          <w:sz w:val="32"/>
          <w:szCs w:val="32"/>
          <w:highlight w:val="none"/>
          <w:lang w:eastAsia="zh-CN"/>
        </w:rPr>
        <w:t>草资源</w:t>
      </w:r>
      <w:r>
        <w:rPr>
          <w:rFonts w:hint="eastAsia" w:ascii="宋体" w:hAnsi="宋体" w:eastAsia="方正仿宋_GBK" w:cs="方正仿宋_GBK"/>
          <w:snapToGrid w:val="0"/>
          <w:color w:val="000000"/>
          <w:sz w:val="32"/>
          <w:szCs w:val="32"/>
          <w:highlight w:val="none"/>
        </w:rPr>
        <w:t>可持续发展，制定本指南。</w:t>
      </w:r>
    </w:p>
    <w:p w14:paraId="6862E492">
      <w:pPr>
        <w:spacing w:line="600" w:lineRule="exact"/>
        <w:ind w:firstLine="640" w:firstLineChars="200"/>
        <w:rPr>
          <w:rFonts w:hint="eastAsia" w:ascii="宋体" w:hAnsi="宋体" w:eastAsia="方正黑体_GBK" w:cs="方正黑体_GBK"/>
          <w:snapToGrid w:val="0"/>
          <w:color w:val="000000"/>
          <w:sz w:val="32"/>
          <w:szCs w:val="32"/>
          <w:highlight w:val="none"/>
        </w:rPr>
      </w:pPr>
      <w:r>
        <w:rPr>
          <w:rFonts w:hint="eastAsia" w:ascii="宋体" w:hAnsi="宋体" w:eastAsia="方正黑体_GBK" w:cs="方正黑体_GBK"/>
          <w:snapToGrid w:val="0"/>
          <w:color w:val="000000"/>
          <w:sz w:val="32"/>
          <w:szCs w:val="32"/>
          <w:highlight w:val="none"/>
        </w:rPr>
        <w:t>一、基本原则</w:t>
      </w:r>
    </w:p>
    <w:p w14:paraId="2FFE809D">
      <w:pPr>
        <w:spacing w:line="600" w:lineRule="exact"/>
        <w:ind w:firstLine="640"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楷体_GBK" w:cs="方正楷体_GBK"/>
          <w:snapToGrid w:val="0"/>
          <w:color w:val="000000"/>
          <w:sz w:val="32"/>
          <w:szCs w:val="32"/>
          <w:highlight w:val="none"/>
        </w:rPr>
        <w:t>（一）生态优先，兼顾发展。</w:t>
      </w:r>
      <w:r>
        <w:rPr>
          <w:rFonts w:hint="eastAsia" w:ascii="宋体" w:hAnsi="宋体" w:eastAsia="方正仿宋_GBK" w:cs="方正仿宋_GBK"/>
          <w:snapToGrid w:val="0"/>
          <w:color w:val="000000"/>
          <w:sz w:val="32"/>
          <w:szCs w:val="32"/>
          <w:highlight w:val="none"/>
        </w:rPr>
        <w:t>光伏项目建设区，应注重参照原生草地植被开展草原恢复，逐步恢复草原生态。在条件适宜的区域，可结合草产业发展需求，选用具有市场前景的草种实施植被恢复</w:t>
      </w:r>
      <w:r>
        <w:rPr>
          <w:rFonts w:hint="eastAsia" w:ascii="宋体" w:hAnsi="宋体" w:eastAsia="方正仿宋_GBK" w:cs="方正仿宋_GBK"/>
          <w:snapToGrid w:val="0"/>
          <w:color w:val="000000"/>
          <w:sz w:val="32"/>
          <w:szCs w:val="32"/>
          <w:highlight w:val="none"/>
          <w:lang w:eastAsia="zh-CN"/>
        </w:rPr>
        <w:t>，具体参照《云南省主要草种目录（</w:t>
      </w:r>
      <w:r>
        <w:rPr>
          <w:rFonts w:hint="eastAsia" w:ascii="宋体" w:hAnsi="宋体" w:eastAsia="方正仿宋_GBK" w:cs="方正仿宋_GBK"/>
          <w:snapToGrid w:val="0"/>
          <w:color w:val="000000"/>
          <w:sz w:val="32"/>
          <w:szCs w:val="32"/>
          <w:highlight w:val="none"/>
          <w:lang w:val="en-US" w:eastAsia="zh-CN"/>
        </w:rPr>
        <w:t>2025年</w:t>
      </w:r>
      <w:r>
        <w:rPr>
          <w:rFonts w:hint="eastAsia" w:ascii="宋体" w:hAnsi="宋体" w:eastAsia="方正仿宋_GBK" w:cs="方正仿宋_GBK"/>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w:t>
      </w:r>
    </w:p>
    <w:p w14:paraId="1CAEBBEC">
      <w:pPr>
        <w:spacing w:line="600" w:lineRule="exact"/>
        <w:ind w:firstLine="640"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楷体_GBK" w:cs="方正楷体_GBK"/>
          <w:snapToGrid w:val="0"/>
          <w:color w:val="000000"/>
          <w:sz w:val="32"/>
          <w:szCs w:val="32"/>
          <w:highlight w:val="none"/>
        </w:rPr>
        <w:t>（二）用途不变，合理绿化。</w:t>
      </w:r>
      <w:r>
        <w:rPr>
          <w:rFonts w:hint="eastAsia" w:ascii="宋体" w:hAnsi="宋体" w:eastAsia="方正仿宋_GBK" w:cs="方正仿宋_GBK"/>
          <w:snapToGrid w:val="0"/>
          <w:color w:val="000000"/>
          <w:sz w:val="32"/>
          <w:szCs w:val="32"/>
          <w:highlight w:val="none"/>
        </w:rPr>
        <w:t>开展光伏区草原植被恢复不得改变土地用途，光伏方阵用地不得改变地表形态。按照国土绿化原则，可乔灌草适度搭配开展植被恢复，乔木郁闭度</w:t>
      </w:r>
      <w:r>
        <w:rPr>
          <w:rFonts w:hint="eastAsia" w:ascii="宋体" w:hAnsi="宋体" w:eastAsia="方正仿宋_GBK" w:cs="方正仿宋_GBK"/>
          <w:snapToGrid w:val="0"/>
          <w:color w:val="000000"/>
          <w:sz w:val="32"/>
          <w:szCs w:val="32"/>
          <w:highlight w:val="none"/>
          <w:lang w:eastAsia="zh-CN"/>
        </w:rPr>
        <w:t>控制在</w:t>
      </w:r>
      <w:r>
        <w:rPr>
          <w:rFonts w:hint="eastAsia" w:ascii="宋体" w:hAnsi="宋体" w:eastAsia="方正仿宋_GBK" w:cs="方正仿宋_GBK"/>
          <w:snapToGrid w:val="0"/>
          <w:color w:val="000000"/>
          <w:sz w:val="32"/>
          <w:szCs w:val="32"/>
          <w:highlight w:val="none"/>
        </w:rPr>
        <w:t>0.1</w:t>
      </w:r>
      <w:r>
        <w:rPr>
          <w:rFonts w:hint="eastAsia" w:ascii="宋体" w:hAnsi="宋体" w:eastAsia="方正仿宋_GBK" w:cs="方正仿宋_GBK"/>
          <w:snapToGrid w:val="0"/>
          <w:color w:val="000000"/>
          <w:sz w:val="32"/>
          <w:szCs w:val="32"/>
          <w:highlight w:val="none"/>
          <w:lang w:val="en-US" w:eastAsia="zh-CN"/>
        </w:rPr>
        <w:t>以下</w:t>
      </w:r>
      <w:r>
        <w:rPr>
          <w:rFonts w:hint="eastAsia" w:ascii="宋体" w:hAnsi="宋体" w:eastAsia="方正仿宋_GBK" w:cs="方正仿宋_GBK"/>
          <w:snapToGrid w:val="0"/>
          <w:color w:val="000000"/>
          <w:sz w:val="32"/>
          <w:szCs w:val="32"/>
          <w:highlight w:val="none"/>
        </w:rPr>
        <w:t>、灌木覆盖</w:t>
      </w:r>
      <w:r>
        <w:rPr>
          <w:rFonts w:hint="eastAsia" w:ascii="宋体" w:hAnsi="宋体" w:eastAsia="方正仿宋_GBK" w:cs="方正仿宋_GBK"/>
          <w:snapToGrid w:val="0"/>
          <w:color w:val="000000"/>
          <w:sz w:val="32"/>
          <w:szCs w:val="32"/>
          <w:highlight w:val="none"/>
          <w:lang w:eastAsia="zh-CN"/>
        </w:rPr>
        <w:t>控制在</w:t>
      </w:r>
      <w:r>
        <w:rPr>
          <w:rFonts w:hint="eastAsia" w:ascii="宋体" w:hAnsi="宋体" w:eastAsia="方正仿宋_GBK" w:cs="方正仿宋_GBK"/>
          <w:snapToGrid w:val="0"/>
          <w:color w:val="000000"/>
          <w:sz w:val="32"/>
          <w:szCs w:val="32"/>
          <w:highlight w:val="none"/>
        </w:rPr>
        <w:t>40%</w:t>
      </w:r>
      <w:r>
        <w:rPr>
          <w:rFonts w:hint="eastAsia" w:ascii="宋体" w:hAnsi="宋体" w:eastAsia="方正仿宋_GBK" w:cs="方正仿宋_GBK"/>
          <w:snapToGrid w:val="0"/>
          <w:color w:val="000000"/>
          <w:sz w:val="32"/>
          <w:szCs w:val="32"/>
          <w:highlight w:val="none"/>
          <w:lang w:val="en-US" w:eastAsia="zh-CN"/>
        </w:rPr>
        <w:t>以下</w:t>
      </w:r>
      <w:r>
        <w:rPr>
          <w:rFonts w:hint="eastAsia" w:ascii="宋体" w:hAnsi="宋体" w:eastAsia="方正仿宋_GBK" w:cs="方正仿宋_GBK"/>
          <w:snapToGrid w:val="0"/>
          <w:color w:val="000000"/>
          <w:sz w:val="32"/>
          <w:szCs w:val="32"/>
          <w:highlight w:val="none"/>
        </w:rPr>
        <w:t>。</w:t>
      </w:r>
    </w:p>
    <w:p w14:paraId="678C842B">
      <w:pPr>
        <w:spacing w:line="600" w:lineRule="exact"/>
        <w:ind w:firstLine="640"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楷体_GBK" w:cs="方正楷体_GBK"/>
          <w:snapToGrid w:val="0"/>
          <w:color w:val="000000"/>
          <w:sz w:val="32"/>
          <w:szCs w:val="32"/>
          <w:highlight w:val="none"/>
        </w:rPr>
        <w:t>（三）加强监管，确保成效。</w:t>
      </w:r>
      <w:r>
        <w:rPr>
          <w:rFonts w:hint="eastAsia" w:ascii="宋体" w:hAnsi="宋体" w:eastAsia="方正仿宋_GBK" w:cs="方正仿宋_GBK"/>
          <w:snapToGrid w:val="0"/>
          <w:color w:val="000000"/>
          <w:sz w:val="32"/>
          <w:szCs w:val="32"/>
          <w:highlight w:val="none"/>
        </w:rPr>
        <w:t>各地应对《光伏复合项目使用林草地植被保护方案》（以下简称《植被保护方案》）进行严格把关、评审备案，并从严监督《植被保护方案》的落实情况。对落实不到位或恢复成效达不到预期的，及时会同有关专家予以专业指导。</w:t>
      </w:r>
    </w:p>
    <w:p w14:paraId="4F480148">
      <w:pPr>
        <w:spacing w:line="600" w:lineRule="exact"/>
        <w:ind w:firstLine="640" w:firstLineChars="200"/>
        <w:rPr>
          <w:rFonts w:hint="eastAsia" w:ascii="宋体" w:hAnsi="宋体" w:eastAsia="方正黑体_GBK" w:cs="方正黑体_GBK"/>
          <w:snapToGrid w:val="0"/>
          <w:color w:val="000000"/>
          <w:sz w:val="32"/>
          <w:szCs w:val="32"/>
          <w:highlight w:val="none"/>
        </w:rPr>
      </w:pPr>
      <w:r>
        <w:rPr>
          <w:rFonts w:hint="eastAsia" w:ascii="宋体" w:hAnsi="宋体" w:eastAsia="方正黑体_GBK" w:cs="方正黑体_GBK"/>
          <w:snapToGrid w:val="0"/>
          <w:color w:val="000000"/>
          <w:sz w:val="32"/>
          <w:szCs w:val="32"/>
          <w:highlight w:val="none"/>
        </w:rPr>
        <w:t>二、主要目标</w:t>
      </w:r>
    </w:p>
    <w:p w14:paraId="2450DFCD">
      <w:pPr>
        <w:spacing w:line="600" w:lineRule="exact"/>
        <w:ind w:left="0" w:leftChars="0" w:firstLine="640" w:firstLineChars="200"/>
        <w:rPr>
          <w:rFonts w:hint="eastAsia" w:ascii="宋体" w:hAnsi="宋体" w:eastAsia="方正仿宋_GBK" w:cs="方正仿宋_GBK"/>
          <w:snapToGrid w:val="0"/>
          <w:color w:val="000000"/>
          <w:sz w:val="32"/>
          <w:szCs w:val="32"/>
          <w:highlight w:val="none"/>
          <w:lang w:val="en-US" w:eastAsia="zh-CN"/>
        </w:rPr>
      </w:pPr>
      <w:r>
        <w:rPr>
          <w:rFonts w:hint="eastAsia" w:ascii="宋体" w:hAnsi="宋体" w:eastAsia="方正仿宋_GBK" w:cs="方正仿宋_GBK"/>
          <w:snapToGrid w:val="0"/>
          <w:color w:val="000000"/>
          <w:sz w:val="32"/>
          <w:szCs w:val="32"/>
          <w:highlight w:val="none"/>
        </w:rPr>
        <w:t>通过明确光伏项目区草原生态保护与恢复的技术要求，科学指导实施草原植被保护、生态修复与生物多样性保护，实现光伏新能源与草原生态保护协调</w:t>
      </w:r>
      <w:r>
        <w:rPr>
          <w:rFonts w:hint="eastAsia" w:ascii="宋体" w:hAnsi="宋体" w:eastAsia="方正仿宋_GBK" w:cs="方正仿宋_GBK"/>
          <w:snapToGrid w:val="0"/>
          <w:color w:val="000000"/>
          <w:sz w:val="32"/>
          <w:szCs w:val="32"/>
          <w:highlight w:val="none"/>
          <w:lang w:val="en-US" w:eastAsia="zh-CN"/>
        </w:rPr>
        <w:t>可</w:t>
      </w:r>
      <w:r>
        <w:rPr>
          <w:rFonts w:hint="eastAsia" w:ascii="宋体" w:hAnsi="宋体" w:eastAsia="方正仿宋_GBK" w:cs="方正仿宋_GBK"/>
          <w:snapToGrid w:val="0"/>
          <w:color w:val="000000"/>
          <w:sz w:val="32"/>
          <w:szCs w:val="32"/>
          <w:highlight w:val="none"/>
        </w:rPr>
        <w:t>持续发展。</w:t>
      </w:r>
    </w:p>
    <w:p w14:paraId="683EEA83">
      <w:pPr>
        <w:spacing w:line="600" w:lineRule="exact"/>
        <w:ind w:left="0" w:leftChars="0" w:firstLine="640"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snapToGrid w:val="0"/>
          <w:color w:val="000000"/>
          <w:sz w:val="32"/>
          <w:szCs w:val="32"/>
          <w:highlight w:val="none"/>
          <w:lang w:val="en-US" w:eastAsia="zh-CN"/>
        </w:rPr>
        <w:t>（一）</w:t>
      </w:r>
      <w:r>
        <w:rPr>
          <w:rFonts w:hint="eastAsia" w:ascii="宋体" w:hAnsi="宋体" w:eastAsia="方正仿宋_GBK" w:cs="方正仿宋_GBK"/>
          <w:snapToGrid w:val="0"/>
          <w:color w:val="000000"/>
          <w:sz w:val="32"/>
          <w:szCs w:val="32"/>
          <w:highlight w:val="none"/>
        </w:rPr>
        <w:t>恢复草原植被覆盖度及生产力，提高草原生态系统稳定性。</w:t>
      </w:r>
    </w:p>
    <w:p w14:paraId="71166D5F">
      <w:pPr>
        <w:spacing w:line="600" w:lineRule="exact"/>
        <w:ind w:left="0" w:leftChars="0" w:firstLine="640"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snapToGrid w:val="0"/>
          <w:color w:val="000000"/>
          <w:sz w:val="32"/>
          <w:szCs w:val="32"/>
          <w:highlight w:val="none"/>
          <w:lang w:val="en-US" w:eastAsia="zh-CN"/>
        </w:rPr>
        <w:t>（二）</w:t>
      </w:r>
      <w:r>
        <w:rPr>
          <w:rFonts w:hint="eastAsia" w:ascii="宋体" w:hAnsi="宋体" w:eastAsia="方正仿宋_GBK" w:cs="方正仿宋_GBK"/>
          <w:snapToGrid w:val="0"/>
          <w:color w:val="000000"/>
          <w:sz w:val="32"/>
          <w:szCs w:val="32"/>
          <w:highlight w:val="none"/>
        </w:rPr>
        <w:t>增加草地生物多样性，恢复草原生态系统功能。</w:t>
      </w:r>
    </w:p>
    <w:p w14:paraId="48B2792E">
      <w:pPr>
        <w:spacing w:line="600" w:lineRule="exact"/>
        <w:ind w:left="0" w:leftChars="0" w:firstLine="640"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lang w:val="en-US" w:eastAsia="zh-CN"/>
        </w:rPr>
        <w:t>三</w:t>
      </w:r>
      <w:r>
        <w:rPr>
          <w:rFonts w:hint="eastAsia" w:ascii="宋体" w:hAnsi="宋体" w:eastAsia="方正仿宋_GBK" w:cs="方正仿宋_GBK"/>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提高草原利用率，实现生态效益、经济效益和社会效益的统一共赢。</w:t>
      </w:r>
    </w:p>
    <w:p w14:paraId="2B2A9622">
      <w:pPr>
        <w:spacing w:line="600" w:lineRule="exact"/>
        <w:ind w:firstLine="640" w:firstLineChars="200"/>
        <w:rPr>
          <w:rFonts w:hint="eastAsia" w:ascii="宋体" w:hAnsi="宋体" w:cs="宋体"/>
          <w:snapToGrid w:val="0"/>
          <w:color w:val="000000"/>
          <w:sz w:val="32"/>
          <w:szCs w:val="32"/>
          <w:highlight w:val="none"/>
        </w:rPr>
      </w:pPr>
      <w:r>
        <w:rPr>
          <w:rFonts w:hint="eastAsia" w:ascii="宋体" w:hAnsi="宋体" w:eastAsia="方正黑体_GBK" w:cs="方正黑体_GBK"/>
          <w:snapToGrid w:val="0"/>
          <w:color w:val="000000"/>
          <w:sz w:val="32"/>
          <w:szCs w:val="32"/>
          <w:highlight w:val="none"/>
        </w:rPr>
        <w:t>三、有关要求</w:t>
      </w:r>
    </w:p>
    <w:p w14:paraId="22ED6404">
      <w:pPr>
        <w:spacing w:line="600" w:lineRule="exact"/>
        <w:ind w:firstLine="640" w:firstLineChars="200"/>
        <w:rPr>
          <w:rFonts w:hint="eastAsia" w:ascii="宋体" w:hAnsi="宋体" w:eastAsia="方正楷体_GBK" w:cs="方正楷体_GBK"/>
          <w:b w:val="0"/>
          <w:bCs w:val="0"/>
          <w:snapToGrid w:val="0"/>
          <w:color w:val="000000"/>
          <w:sz w:val="32"/>
          <w:szCs w:val="32"/>
          <w:highlight w:val="none"/>
        </w:rPr>
      </w:pPr>
      <w:r>
        <w:rPr>
          <w:rFonts w:hint="eastAsia" w:ascii="宋体" w:hAnsi="宋体" w:eastAsia="方正楷体_GBK" w:cs="方正楷体_GBK"/>
          <w:b w:val="0"/>
          <w:bCs w:val="0"/>
          <w:snapToGrid w:val="0"/>
          <w:color w:val="000000"/>
          <w:sz w:val="32"/>
          <w:szCs w:val="32"/>
          <w:highlight w:val="none"/>
          <w:lang w:eastAsia="zh-CN"/>
        </w:rPr>
        <w:t>（一）</w:t>
      </w:r>
      <w:r>
        <w:rPr>
          <w:rFonts w:hint="eastAsia" w:ascii="宋体" w:hAnsi="宋体" w:eastAsia="方正楷体_GBK" w:cs="方正楷体_GBK"/>
          <w:b w:val="0"/>
          <w:bCs w:val="0"/>
          <w:snapToGrid w:val="0"/>
          <w:color w:val="000000"/>
          <w:sz w:val="32"/>
          <w:szCs w:val="32"/>
          <w:highlight w:val="none"/>
        </w:rPr>
        <w:t>项目建设前主要工作</w:t>
      </w:r>
    </w:p>
    <w:p w14:paraId="253D8E36">
      <w:pPr>
        <w:spacing w:line="600" w:lineRule="exact"/>
        <w:ind w:firstLine="643" w:firstLineChars="200"/>
        <w:rPr>
          <w:rFonts w:ascii="宋体" w:hAnsi="宋体" w:eastAsia="方正仿宋_GBK" w:cs="方正仿宋_GBK"/>
          <w:b/>
          <w:bCs/>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1.前期工作</w:t>
      </w:r>
    </w:p>
    <w:p w14:paraId="07AB9263">
      <w:pPr>
        <w:spacing w:line="600" w:lineRule="exact"/>
        <w:ind w:firstLine="640" w:firstLineChars="200"/>
        <w:rPr>
          <w:rFonts w:hint="eastAsia" w:ascii="宋体" w:hAnsi="宋体" w:eastAsia="方正仿宋_GBK" w:cs="方正仿宋_GBK"/>
          <w:snapToGrid w:val="0"/>
          <w:color w:val="auto"/>
          <w:sz w:val="32"/>
          <w:szCs w:val="32"/>
          <w:highlight w:val="none"/>
        </w:rPr>
      </w:pPr>
      <w:r>
        <w:rPr>
          <w:rFonts w:hint="eastAsia" w:ascii="宋体" w:hAnsi="宋体" w:eastAsia="方正仿宋_GBK" w:cs="方正仿宋_GBK"/>
          <w:snapToGrid w:val="0"/>
          <w:color w:val="000000"/>
          <w:sz w:val="32"/>
          <w:szCs w:val="32"/>
          <w:highlight w:val="none"/>
          <w:lang w:eastAsia="zh-CN"/>
        </w:rPr>
        <w:t>各地林草部门应当在项目选址阶段，靠前服务、主动介入，会同能源主管部门引导、指导项目业主单位依法依规、科学合理开展光伏新能源项目用地选址。严格在符合国家和省关于光伏发电产业发展的允许范围内选址，此外建议避让具备重要生态功能和生态景观价值的草地。要</w:t>
      </w:r>
      <w:r>
        <w:rPr>
          <w:rFonts w:hint="eastAsia" w:ascii="宋体" w:hAnsi="宋体" w:eastAsia="方正仿宋_GBK" w:cs="方正仿宋_GBK"/>
          <w:snapToGrid w:val="0"/>
          <w:color w:val="000000"/>
          <w:sz w:val="32"/>
          <w:szCs w:val="32"/>
          <w:highlight w:val="none"/>
        </w:rPr>
        <w:t>按照《云南省林业和草原局 云南省能源局关于进一步规范光伏复合项目使用林草地有关事项的通知》（</w:t>
      </w:r>
      <w:r>
        <w:rPr>
          <w:rFonts w:hint="eastAsia" w:ascii="宋体" w:hAnsi="宋体" w:eastAsia="方正仿宋_GBK" w:cs="方正仿宋_GBK"/>
          <w:snapToGrid w:val="0"/>
          <w:color w:val="auto"/>
          <w:sz w:val="32"/>
          <w:szCs w:val="32"/>
          <w:highlight w:val="none"/>
          <w:shd w:val="clear" w:color="auto" w:fill="FFFFFF"/>
        </w:rPr>
        <w:t>云林规〔2021〕5号</w:t>
      </w:r>
      <w:r>
        <w:rPr>
          <w:rFonts w:hint="eastAsia" w:ascii="宋体" w:hAnsi="宋体" w:eastAsia="方正仿宋_GBK" w:cs="方正仿宋_GBK"/>
          <w:snapToGrid w:val="0"/>
          <w:color w:val="000000"/>
          <w:sz w:val="32"/>
          <w:szCs w:val="32"/>
          <w:highlight w:val="none"/>
        </w:rPr>
        <w:t>）要求</w:t>
      </w:r>
      <w:r>
        <w:rPr>
          <w:rFonts w:hint="eastAsia" w:ascii="宋体" w:hAnsi="宋体" w:eastAsia="方正仿宋_GBK" w:cs="方正仿宋_GBK"/>
          <w:snapToGrid w:val="0"/>
          <w:color w:val="000000"/>
          <w:sz w:val="32"/>
          <w:szCs w:val="32"/>
          <w:highlight w:val="none"/>
          <w:lang w:eastAsia="zh-CN"/>
        </w:rPr>
        <w:t>，指导有关单位</w:t>
      </w:r>
      <w:r>
        <w:rPr>
          <w:rFonts w:hint="eastAsia" w:ascii="宋体" w:hAnsi="宋体" w:eastAsia="方正仿宋_GBK" w:cs="方正仿宋_GBK"/>
          <w:snapToGrid w:val="0"/>
          <w:color w:val="000000"/>
          <w:sz w:val="32"/>
          <w:szCs w:val="32"/>
          <w:highlight w:val="none"/>
        </w:rPr>
        <w:t>编制</w:t>
      </w:r>
      <w:r>
        <w:rPr>
          <w:rFonts w:hint="eastAsia" w:ascii="宋体" w:hAnsi="宋体" w:eastAsia="方正仿宋_GBK" w:cs="方正仿宋_GBK"/>
          <w:snapToGrid w:val="0"/>
          <w:color w:val="000000"/>
          <w:sz w:val="32"/>
          <w:szCs w:val="32"/>
          <w:highlight w:val="none"/>
          <w:lang w:eastAsia="zh-CN"/>
        </w:rPr>
        <w:t>好符合当地实际的</w:t>
      </w:r>
      <w:r>
        <w:rPr>
          <w:rFonts w:hint="eastAsia" w:ascii="宋体" w:hAnsi="宋体" w:eastAsia="方正仿宋_GBK" w:cs="方正仿宋_GBK"/>
          <w:snapToGrid w:val="0"/>
          <w:color w:val="000000"/>
          <w:sz w:val="32"/>
          <w:szCs w:val="32"/>
          <w:highlight w:val="none"/>
        </w:rPr>
        <w:t>植被</w:t>
      </w:r>
      <w:r>
        <w:rPr>
          <w:rFonts w:hint="eastAsia" w:ascii="宋体" w:hAnsi="宋体" w:eastAsia="方正仿宋_GBK" w:cs="方正仿宋_GBK"/>
          <w:snapToGrid w:val="0"/>
          <w:color w:val="000000"/>
          <w:sz w:val="32"/>
          <w:szCs w:val="32"/>
          <w:highlight w:val="none"/>
          <w:lang w:eastAsia="zh-CN"/>
        </w:rPr>
        <w:t>保护</w:t>
      </w:r>
      <w:r>
        <w:rPr>
          <w:rFonts w:hint="eastAsia" w:ascii="宋体" w:hAnsi="宋体" w:eastAsia="方正仿宋_GBK" w:cs="方正仿宋_GBK"/>
          <w:snapToGrid w:val="0"/>
          <w:color w:val="000000"/>
          <w:sz w:val="32"/>
          <w:szCs w:val="32"/>
          <w:highlight w:val="none"/>
        </w:rPr>
        <w:t>恢复方案。</w:t>
      </w:r>
    </w:p>
    <w:p w14:paraId="06B1251C">
      <w:pPr>
        <w:spacing w:line="600" w:lineRule="exact"/>
        <w:ind w:firstLine="643" w:firstLineChars="200"/>
        <w:rPr>
          <w:rFonts w:ascii="宋体" w:hAnsi="宋体" w:eastAsia="方正仿宋_GBK" w:cs="方正仿宋_GBK"/>
          <w:snapToGrid w:val="0"/>
          <w:color w:val="auto"/>
          <w:sz w:val="32"/>
          <w:szCs w:val="32"/>
          <w:highlight w:val="none"/>
        </w:rPr>
      </w:pPr>
      <w:r>
        <w:rPr>
          <w:rFonts w:hint="eastAsia" w:ascii="宋体" w:hAnsi="宋体" w:eastAsia="方正仿宋_GBK" w:cs="方正仿宋_GBK"/>
          <w:b/>
          <w:bCs/>
          <w:snapToGrid w:val="0"/>
          <w:color w:val="auto"/>
          <w:sz w:val="32"/>
          <w:szCs w:val="32"/>
          <w:highlight w:val="none"/>
        </w:rPr>
        <w:t>2.本底调查</w:t>
      </w:r>
    </w:p>
    <w:p w14:paraId="5D740EFB">
      <w:pPr>
        <w:spacing w:line="600" w:lineRule="exact"/>
        <w:ind w:firstLine="640"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snapToGrid w:val="0"/>
          <w:color w:val="auto"/>
          <w:sz w:val="32"/>
          <w:szCs w:val="32"/>
          <w:highlight w:val="none"/>
        </w:rPr>
        <w:t>按植被保护方案编制要求做好项目前期草地本</w:t>
      </w:r>
      <w:r>
        <w:rPr>
          <w:rFonts w:hint="eastAsia" w:ascii="宋体" w:hAnsi="宋体" w:eastAsia="方正仿宋_GBK" w:cs="方正仿宋_GBK"/>
          <w:snapToGrid w:val="0"/>
          <w:color w:val="auto"/>
          <w:sz w:val="32"/>
          <w:szCs w:val="32"/>
          <w:highlight w:val="none"/>
          <w:lang w:val="en-US" w:eastAsia="zh-CN"/>
        </w:rPr>
        <w:t>底</w:t>
      </w:r>
      <w:r>
        <w:rPr>
          <w:rFonts w:hint="eastAsia" w:ascii="宋体" w:hAnsi="宋体" w:eastAsia="方正仿宋_GBK" w:cs="方正仿宋_GBK"/>
          <w:snapToGrid w:val="0"/>
          <w:color w:val="auto"/>
          <w:sz w:val="32"/>
          <w:szCs w:val="32"/>
          <w:highlight w:val="none"/>
        </w:rPr>
        <w:t>调查，</w:t>
      </w:r>
      <w:r>
        <w:rPr>
          <w:rFonts w:hint="eastAsia" w:ascii="宋体" w:hAnsi="宋体" w:eastAsia="方正仿宋_GBK" w:cs="方正仿宋_GBK"/>
          <w:snapToGrid w:val="0"/>
          <w:color w:val="000000"/>
          <w:sz w:val="32"/>
          <w:szCs w:val="32"/>
          <w:highlight w:val="none"/>
        </w:rPr>
        <w:t>每个项目须在项目建设</w:t>
      </w:r>
      <w:r>
        <w:rPr>
          <w:rFonts w:hint="eastAsia" w:ascii="宋体" w:hAnsi="宋体" w:eastAsia="方正仿宋_GBK" w:cs="方正仿宋_GBK"/>
          <w:snapToGrid w:val="0"/>
          <w:color w:val="000000"/>
          <w:sz w:val="32"/>
          <w:szCs w:val="32"/>
          <w:highlight w:val="none"/>
          <w:lang w:eastAsia="zh-CN"/>
        </w:rPr>
        <w:t>范围</w:t>
      </w:r>
      <w:r>
        <w:rPr>
          <w:rFonts w:hint="eastAsia" w:ascii="宋体" w:hAnsi="宋体" w:eastAsia="方正仿宋_GBK" w:cs="方正仿宋_GBK"/>
          <w:snapToGrid w:val="0"/>
          <w:color w:val="000000"/>
          <w:sz w:val="32"/>
          <w:szCs w:val="32"/>
          <w:highlight w:val="none"/>
        </w:rPr>
        <w:t>外，就近选择植被相似的位置设置3块对照样地同步开展调查。</w:t>
      </w:r>
      <w:r>
        <w:rPr>
          <w:rFonts w:hint="eastAsia" w:ascii="宋体" w:hAnsi="宋体" w:eastAsia="方正仿宋_GBK" w:cs="方正仿宋_GBK"/>
          <w:snapToGrid w:val="0"/>
          <w:color w:val="333333"/>
          <w:sz w:val="32"/>
          <w:szCs w:val="32"/>
          <w:highlight w:val="none"/>
          <w:shd w:val="clear" w:color="auto" w:fill="FFFFFF"/>
        </w:rPr>
        <w:t>除</w:t>
      </w:r>
      <w:r>
        <w:rPr>
          <w:rFonts w:hint="eastAsia" w:ascii="宋体" w:hAnsi="宋体" w:eastAsia="方正仿宋_GBK" w:cs="方正仿宋_GBK"/>
          <w:snapToGrid w:val="0"/>
          <w:color w:val="auto"/>
          <w:sz w:val="32"/>
          <w:szCs w:val="32"/>
          <w:highlight w:val="none"/>
          <w:shd w:val="clear" w:color="auto" w:fill="FFFFFF"/>
        </w:rPr>
        <w:t>云林规〔2021〕5号</w:t>
      </w:r>
      <w:r>
        <w:rPr>
          <w:rFonts w:hint="eastAsia" w:ascii="宋体" w:hAnsi="宋体" w:eastAsia="方正仿宋_GBK" w:cs="方正仿宋_GBK"/>
          <w:snapToGrid w:val="0"/>
          <w:color w:val="000000"/>
          <w:sz w:val="32"/>
          <w:szCs w:val="32"/>
          <w:highlight w:val="none"/>
        </w:rPr>
        <w:t>文件规定的调查内容外，</w:t>
      </w:r>
      <w:r>
        <w:rPr>
          <w:rFonts w:hint="eastAsia" w:ascii="宋体" w:hAnsi="宋体" w:eastAsia="方正仿宋_GBK" w:cs="方正仿宋_GBK"/>
          <w:snapToGrid w:val="0"/>
          <w:color w:val="000000"/>
          <w:sz w:val="32"/>
          <w:szCs w:val="32"/>
          <w:highlight w:val="none"/>
          <w:lang w:eastAsia="zh-CN"/>
        </w:rPr>
        <w:t>建议补充</w:t>
      </w:r>
      <w:r>
        <w:rPr>
          <w:rFonts w:hint="eastAsia" w:ascii="宋体" w:hAnsi="宋体" w:eastAsia="方正仿宋_GBK" w:cs="方正仿宋_GBK"/>
          <w:snapToGrid w:val="0"/>
          <w:color w:val="000000"/>
          <w:sz w:val="32"/>
          <w:szCs w:val="32"/>
          <w:highlight w:val="none"/>
        </w:rPr>
        <w:t>调查日期（年、月、日）</w:t>
      </w:r>
      <w:r>
        <w:rPr>
          <w:rFonts w:hint="eastAsia" w:ascii="宋体" w:hAnsi="宋体" w:eastAsia="方正仿宋_GBK" w:cs="方正仿宋_GBK"/>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产草量、当地气象（气温、降水量、光照等</w:t>
      </w:r>
      <w:r>
        <w:rPr>
          <w:rFonts w:hint="eastAsia" w:ascii="宋体" w:hAnsi="宋体" w:eastAsia="方正仿宋_GBK" w:cs="方正仿宋_GBK"/>
          <w:snapToGrid w:val="0"/>
          <w:color w:val="000000"/>
          <w:sz w:val="32"/>
          <w:szCs w:val="32"/>
          <w:highlight w:val="none"/>
          <w:lang w:eastAsia="zh-CN"/>
        </w:rPr>
        <w:t>，详见</w:t>
      </w:r>
      <w:r>
        <w:rPr>
          <w:rFonts w:hint="eastAsia" w:ascii="宋体" w:hAnsi="宋体" w:eastAsia="方正仿宋_GBK" w:cs="方正仿宋_GBK"/>
          <w:snapToGrid w:val="0"/>
          <w:color w:val="000000"/>
          <w:sz w:val="32"/>
          <w:szCs w:val="32"/>
          <w:highlight w:val="none"/>
        </w:rPr>
        <w:t>附</w:t>
      </w:r>
      <w:r>
        <w:rPr>
          <w:rFonts w:hint="eastAsia" w:ascii="宋体" w:hAnsi="宋体" w:eastAsia="方正仿宋_GBK" w:cs="方正仿宋_GBK"/>
          <w:snapToGrid w:val="0"/>
          <w:color w:val="000000"/>
          <w:sz w:val="32"/>
          <w:szCs w:val="32"/>
          <w:highlight w:val="none"/>
          <w:lang w:eastAsia="zh-CN"/>
        </w:rPr>
        <w:t>件</w:t>
      </w:r>
      <w:r>
        <w:rPr>
          <w:rFonts w:hint="eastAsia" w:ascii="宋体" w:hAnsi="宋体" w:eastAsia="方正仿宋_GBK" w:cs="方正仿宋_GBK"/>
          <w:snapToGrid w:val="0"/>
          <w:color w:val="000000"/>
          <w:sz w:val="32"/>
          <w:szCs w:val="32"/>
          <w:highlight w:val="none"/>
        </w:rPr>
        <w:t>1），辅助用于后期恢复成效评价。</w:t>
      </w:r>
      <w:r>
        <w:rPr>
          <w:rFonts w:hint="eastAsia" w:ascii="宋体" w:hAnsi="宋体" w:eastAsia="方正仿宋_GBK" w:cs="方正仿宋_GBK"/>
          <w:snapToGrid w:val="0"/>
          <w:color w:val="000000"/>
          <w:sz w:val="32"/>
          <w:szCs w:val="32"/>
          <w:highlight w:val="none"/>
          <w:lang w:eastAsia="zh-CN"/>
        </w:rPr>
        <w:t>同时建议</w:t>
      </w:r>
      <w:r>
        <w:rPr>
          <w:rFonts w:hint="eastAsia" w:ascii="宋体" w:hAnsi="宋体" w:eastAsia="方正仿宋_GBK" w:cs="方正仿宋_GBK"/>
          <w:snapToGrid w:val="0"/>
          <w:color w:val="000000"/>
          <w:sz w:val="32"/>
          <w:szCs w:val="32"/>
          <w:highlight w:val="none"/>
        </w:rPr>
        <w:t>留存</w:t>
      </w:r>
      <w:r>
        <w:rPr>
          <w:rFonts w:hint="eastAsia" w:ascii="宋体" w:hAnsi="宋体" w:eastAsia="方正仿宋_GBK" w:cs="方正仿宋_GBK"/>
          <w:snapToGrid w:val="0"/>
          <w:color w:val="000000"/>
          <w:sz w:val="32"/>
          <w:szCs w:val="32"/>
          <w:highlight w:val="none"/>
          <w:lang w:eastAsia="zh-CN"/>
        </w:rPr>
        <w:t>施工</w:t>
      </w:r>
      <w:r>
        <w:rPr>
          <w:rFonts w:hint="eastAsia" w:ascii="宋体" w:hAnsi="宋体" w:eastAsia="方正仿宋_GBK" w:cs="方正仿宋_GBK"/>
          <w:snapToGrid w:val="0"/>
          <w:color w:val="000000"/>
          <w:sz w:val="32"/>
          <w:szCs w:val="32"/>
          <w:highlight w:val="none"/>
        </w:rPr>
        <w:t>前的植被现状照片和全景视频等资料。</w:t>
      </w:r>
    </w:p>
    <w:p w14:paraId="54D44C5D">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3.部门协作</w:t>
      </w:r>
    </w:p>
    <w:p w14:paraId="72557699">
      <w:pPr>
        <w:spacing w:line="600" w:lineRule="exact"/>
        <w:ind w:firstLine="640"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snapToGrid w:val="0"/>
          <w:color w:val="000000"/>
          <w:sz w:val="32"/>
          <w:szCs w:val="32"/>
          <w:highlight w:val="none"/>
          <w:lang w:eastAsia="zh-CN"/>
        </w:rPr>
        <w:t>各地应当</w:t>
      </w:r>
      <w:r>
        <w:rPr>
          <w:rFonts w:hint="eastAsia" w:ascii="宋体" w:hAnsi="宋体" w:eastAsia="方正仿宋_GBK" w:cs="方正仿宋_GBK"/>
          <w:snapToGrid w:val="0"/>
          <w:color w:val="000000"/>
          <w:sz w:val="32"/>
          <w:szCs w:val="32"/>
          <w:highlight w:val="none"/>
        </w:rPr>
        <w:t>与</w:t>
      </w:r>
      <w:r>
        <w:rPr>
          <w:rFonts w:hint="eastAsia" w:ascii="宋体" w:hAnsi="宋体" w:eastAsia="方正仿宋_GBK" w:cs="方正仿宋_GBK"/>
          <w:snapToGrid w:val="0"/>
          <w:color w:val="000000"/>
          <w:sz w:val="32"/>
          <w:szCs w:val="32"/>
          <w:highlight w:val="none"/>
          <w:lang w:eastAsia="zh-CN"/>
        </w:rPr>
        <w:t>有关行业主管部门和</w:t>
      </w:r>
      <w:r>
        <w:rPr>
          <w:rFonts w:hint="eastAsia" w:ascii="宋体" w:hAnsi="宋体" w:eastAsia="方正仿宋_GBK" w:cs="方正仿宋_GBK"/>
          <w:snapToGrid w:val="0"/>
          <w:color w:val="000000"/>
          <w:sz w:val="32"/>
          <w:szCs w:val="32"/>
          <w:highlight w:val="none"/>
        </w:rPr>
        <w:t>建设施工等单位主动沟通，加强协作。</w:t>
      </w:r>
      <w:r>
        <w:rPr>
          <w:rFonts w:hint="eastAsia" w:ascii="宋体" w:hAnsi="宋体" w:eastAsia="方正仿宋_GBK" w:cs="方正仿宋_GBK"/>
          <w:snapToGrid w:val="0"/>
          <w:color w:val="000000"/>
          <w:sz w:val="32"/>
          <w:szCs w:val="32"/>
          <w:highlight w:val="none"/>
          <w:lang w:eastAsia="zh-CN"/>
        </w:rPr>
        <w:t>通过采取</w:t>
      </w:r>
      <w:r>
        <w:rPr>
          <w:rFonts w:hint="eastAsia" w:ascii="宋体" w:hAnsi="宋体" w:eastAsia="方正仿宋_GBK" w:cs="方正仿宋_GBK"/>
          <w:snapToGrid w:val="0"/>
          <w:color w:val="000000"/>
          <w:sz w:val="32"/>
          <w:szCs w:val="32"/>
          <w:highlight w:val="none"/>
        </w:rPr>
        <w:t>召开“依法使用林草地专题会议”</w:t>
      </w:r>
      <w:r>
        <w:rPr>
          <w:rFonts w:hint="eastAsia" w:ascii="宋体" w:hAnsi="宋体" w:eastAsia="方正仿宋_GBK" w:cs="方正仿宋_GBK"/>
          <w:snapToGrid w:val="0"/>
          <w:color w:val="000000"/>
          <w:sz w:val="32"/>
          <w:szCs w:val="32"/>
          <w:highlight w:val="none"/>
          <w:lang w:eastAsia="zh-CN"/>
        </w:rPr>
        <w:t>等形式</w:t>
      </w:r>
      <w:r>
        <w:rPr>
          <w:rFonts w:hint="eastAsia" w:ascii="宋体" w:hAnsi="宋体" w:eastAsia="方正仿宋_GBK" w:cs="方正仿宋_GBK"/>
          <w:snapToGrid w:val="0"/>
          <w:color w:val="000000"/>
          <w:sz w:val="32"/>
          <w:szCs w:val="32"/>
          <w:highlight w:val="none"/>
        </w:rPr>
        <w:t>，清单化告知使用草地规定，施工期间植被保护注意事项，以及施工结束植被恢复等要求</w:t>
      </w:r>
      <w:r>
        <w:rPr>
          <w:rFonts w:hint="eastAsia" w:ascii="宋体" w:hAnsi="宋体" w:eastAsia="方正仿宋_GBK" w:cs="方正仿宋_GBK"/>
          <w:snapToGrid w:val="0"/>
          <w:color w:val="000000"/>
          <w:sz w:val="32"/>
          <w:szCs w:val="32"/>
          <w:highlight w:val="none"/>
          <w:lang w:eastAsia="zh-CN"/>
        </w:rPr>
        <w:t>，进一步压实业主单位和施工方的植被保护恢复责任。</w:t>
      </w:r>
    </w:p>
    <w:p w14:paraId="7AF730F1">
      <w:pPr>
        <w:spacing w:line="600" w:lineRule="exact"/>
        <w:ind w:firstLine="640" w:firstLineChars="200"/>
        <w:rPr>
          <w:rFonts w:hint="eastAsia" w:ascii="宋体" w:hAnsi="宋体" w:eastAsia="方正楷体_GBK" w:cs="方正楷体_GBK"/>
          <w:snapToGrid w:val="0"/>
          <w:color w:val="000000"/>
          <w:sz w:val="32"/>
          <w:szCs w:val="32"/>
          <w:highlight w:val="none"/>
        </w:rPr>
      </w:pPr>
      <w:r>
        <w:rPr>
          <w:rFonts w:hint="eastAsia" w:ascii="宋体" w:hAnsi="宋体" w:eastAsia="方正楷体_GBK" w:cs="方正楷体_GBK"/>
          <w:snapToGrid w:val="0"/>
          <w:color w:val="000000"/>
          <w:sz w:val="32"/>
          <w:szCs w:val="32"/>
          <w:highlight w:val="none"/>
        </w:rPr>
        <w:t>（二）项目建设期生态管理</w:t>
      </w:r>
    </w:p>
    <w:p w14:paraId="4F3194EE">
      <w:pPr>
        <w:pStyle w:val="8"/>
        <w:widowControl w:val="0"/>
        <w:adjustRightInd w:val="0"/>
        <w:snapToGrid w:val="0"/>
        <w:spacing w:line="600" w:lineRule="exact"/>
        <w:ind w:firstLine="643" w:firstLineChars="200"/>
        <w:jc w:val="both"/>
        <w:rPr>
          <w:rFonts w:ascii="宋体" w:hAnsi="宋体" w:eastAsia="方正仿宋_GBK" w:cs="方正仿宋_GBK"/>
          <w:b/>
          <w:bCs/>
          <w:snapToGrid w:val="0"/>
          <w:color w:val="auto"/>
          <w:sz w:val="32"/>
          <w:szCs w:val="32"/>
          <w:highlight w:val="none"/>
        </w:rPr>
      </w:pPr>
      <w:r>
        <w:rPr>
          <w:rFonts w:hint="eastAsia" w:ascii="宋体" w:hAnsi="宋体" w:eastAsia="方正仿宋_GBK" w:cs="方正仿宋_GBK"/>
          <w:b/>
          <w:bCs/>
          <w:snapToGrid w:val="0"/>
          <w:color w:val="auto"/>
          <w:sz w:val="32"/>
          <w:szCs w:val="32"/>
          <w:highlight w:val="none"/>
        </w:rPr>
        <w:t>1.工程实施</w:t>
      </w:r>
    </w:p>
    <w:p w14:paraId="7A021C42">
      <w:pPr>
        <w:pStyle w:val="8"/>
        <w:widowControl w:val="0"/>
        <w:adjustRightInd w:val="0"/>
        <w:snapToGrid w:val="0"/>
        <w:spacing w:line="600" w:lineRule="exact"/>
        <w:ind w:firstLine="640" w:firstLineChars="200"/>
        <w:jc w:val="both"/>
        <w:rPr>
          <w:rFonts w:hint="eastAsia" w:ascii="宋体" w:hAnsi="宋体" w:eastAsia="方正仿宋_GBK" w:cs="方正仿宋_GBK"/>
          <w:snapToGrid w:val="0"/>
          <w:color w:val="auto"/>
          <w:sz w:val="32"/>
          <w:szCs w:val="32"/>
          <w:highlight w:val="none"/>
        </w:rPr>
      </w:pPr>
      <w:r>
        <w:rPr>
          <w:rFonts w:hint="eastAsia" w:ascii="宋体" w:hAnsi="宋体" w:eastAsia="方正仿宋_GBK" w:cs="方正仿宋_GBK"/>
          <w:snapToGrid w:val="0"/>
          <w:color w:val="auto"/>
          <w:sz w:val="32"/>
          <w:szCs w:val="32"/>
          <w:highlight w:val="none"/>
        </w:rPr>
        <w:t>坚持“最小破坏、最大保护”原则，严禁采用分台式破坏性建设，引导采取大型无人机运输并运用人工打桩，最大程度减少因临时施工道路开挖和运输、架设光伏板对周边生态环境的影响，最终达到施工成本和后期生态恢复成本“双降”的良好效果。在光伏项目施工时，</w:t>
      </w:r>
      <w:r>
        <w:rPr>
          <w:rFonts w:hint="eastAsia" w:ascii="宋体" w:hAnsi="宋体" w:eastAsia="方正仿宋_GBK" w:cs="方正仿宋_GBK"/>
          <w:snapToGrid w:val="0"/>
          <w:color w:val="auto"/>
          <w:sz w:val="32"/>
          <w:szCs w:val="32"/>
          <w:highlight w:val="none"/>
          <w:lang w:eastAsia="zh-CN"/>
        </w:rPr>
        <w:t>建议</w:t>
      </w:r>
      <w:r>
        <w:rPr>
          <w:rFonts w:hint="eastAsia" w:ascii="宋体" w:hAnsi="宋体" w:eastAsia="方正仿宋_GBK" w:cs="方正仿宋_GBK"/>
          <w:snapToGrid w:val="0"/>
          <w:color w:val="auto"/>
          <w:sz w:val="32"/>
          <w:szCs w:val="32"/>
          <w:highlight w:val="none"/>
        </w:rPr>
        <w:t>做好表土熟土剥存等工作</w:t>
      </w:r>
      <w:r>
        <w:rPr>
          <w:rFonts w:hint="eastAsia" w:ascii="宋体" w:hAnsi="宋体" w:eastAsia="方正仿宋_GBK" w:cs="方正仿宋_GBK"/>
          <w:snapToGrid w:val="0"/>
          <w:color w:val="auto"/>
          <w:sz w:val="32"/>
          <w:szCs w:val="32"/>
          <w:highlight w:val="none"/>
          <w:lang w:eastAsia="zh-CN"/>
        </w:rPr>
        <w:t>，用于后期恢复回填</w:t>
      </w:r>
      <w:r>
        <w:rPr>
          <w:rFonts w:hint="eastAsia" w:ascii="宋体" w:hAnsi="宋体" w:eastAsia="方正仿宋_GBK" w:cs="方正仿宋_GBK"/>
          <w:snapToGrid w:val="0"/>
          <w:color w:val="auto"/>
          <w:sz w:val="32"/>
          <w:szCs w:val="32"/>
          <w:highlight w:val="none"/>
        </w:rPr>
        <w:t>。</w:t>
      </w:r>
    </w:p>
    <w:p w14:paraId="6FCB2C31">
      <w:pPr>
        <w:pStyle w:val="8"/>
        <w:widowControl w:val="0"/>
        <w:adjustRightInd w:val="0"/>
        <w:snapToGrid w:val="0"/>
        <w:spacing w:line="600" w:lineRule="exact"/>
        <w:ind w:firstLine="643" w:firstLineChars="200"/>
        <w:jc w:val="both"/>
        <w:rPr>
          <w:rFonts w:ascii="宋体" w:hAnsi="宋体" w:eastAsia="方正仿宋_GBK" w:cs="方正仿宋_GBK"/>
          <w:b/>
          <w:bCs/>
          <w:snapToGrid w:val="0"/>
          <w:color w:val="auto"/>
          <w:sz w:val="32"/>
          <w:szCs w:val="32"/>
          <w:highlight w:val="none"/>
        </w:rPr>
      </w:pPr>
      <w:r>
        <w:rPr>
          <w:rFonts w:hint="eastAsia" w:ascii="宋体" w:hAnsi="宋体" w:eastAsia="方正仿宋_GBK" w:cs="方正仿宋_GBK"/>
          <w:b/>
          <w:bCs/>
          <w:snapToGrid w:val="0"/>
          <w:color w:val="auto"/>
          <w:sz w:val="32"/>
          <w:szCs w:val="32"/>
          <w:highlight w:val="none"/>
        </w:rPr>
        <w:t>2.植被恢复</w:t>
      </w:r>
    </w:p>
    <w:p w14:paraId="16463418">
      <w:pPr>
        <w:pStyle w:val="8"/>
        <w:widowControl w:val="0"/>
        <w:adjustRightInd w:val="0"/>
        <w:snapToGrid w:val="0"/>
        <w:spacing w:line="600" w:lineRule="exact"/>
        <w:ind w:firstLine="640" w:firstLineChars="200"/>
        <w:jc w:val="both"/>
        <w:rPr>
          <w:rFonts w:hint="eastAsia" w:ascii="宋体" w:hAnsi="宋体" w:eastAsia="方正仿宋_GBK" w:cs="方正仿宋_GBK"/>
          <w:snapToGrid w:val="0"/>
          <w:color w:val="auto"/>
          <w:sz w:val="32"/>
          <w:szCs w:val="32"/>
          <w:highlight w:val="none"/>
        </w:rPr>
      </w:pPr>
      <w:r>
        <w:rPr>
          <w:rFonts w:hint="eastAsia" w:ascii="宋体" w:hAnsi="宋体" w:eastAsia="方正仿宋_GBK" w:cs="方正仿宋_GBK"/>
          <w:snapToGrid w:val="0"/>
          <w:color w:val="auto"/>
          <w:sz w:val="32"/>
          <w:szCs w:val="32"/>
          <w:highlight w:val="none"/>
        </w:rPr>
        <w:t>在条件允许情况下，应按照“建成一片、</w:t>
      </w:r>
      <w:r>
        <w:rPr>
          <w:rFonts w:hint="eastAsia" w:ascii="宋体" w:hAnsi="宋体" w:eastAsia="方正仿宋_GBK" w:cs="方正仿宋_GBK"/>
          <w:snapToGrid w:val="0"/>
          <w:color w:val="auto"/>
          <w:sz w:val="32"/>
          <w:szCs w:val="32"/>
          <w:highlight w:val="none"/>
          <w:lang w:val="en-US" w:eastAsia="zh-CN"/>
        </w:rPr>
        <w:t>恢</w:t>
      </w:r>
      <w:r>
        <w:rPr>
          <w:rFonts w:hint="eastAsia" w:ascii="宋体" w:hAnsi="宋体" w:eastAsia="方正仿宋_GBK" w:cs="方正仿宋_GBK"/>
          <w:snapToGrid w:val="0"/>
          <w:color w:val="auto"/>
          <w:sz w:val="32"/>
          <w:szCs w:val="32"/>
          <w:highlight w:val="none"/>
        </w:rPr>
        <w:t>复一片”的要求，及时启动恢复措施。受季节等因素影响，过了种植时令未开展恢复的，应做好裸土防护，防止水土流失和扬尘，于次年内及时开展植被恢复。</w:t>
      </w:r>
      <w:r>
        <w:rPr>
          <w:rFonts w:hint="eastAsia" w:ascii="宋体" w:hAnsi="宋体" w:eastAsia="方正仿宋_GBK" w:cs="方正仿宋_GBK"/>
          <w:snapToGrid w:val="0"/>
          <w:color w:val="auto"/>
          <w:sz w:val="32"/>
          <w:szCs w:val="32"/>
          <w:highlight w:val="none"/>
          <w:lang w:val="en-US" w:eastAsia="zh-CN"/>
        </w:rPr>
        <w:t>播种前将剥取的表土熟土分层回填，</w:t>
      </w:r>
      <w:r>
        <w:rPr>
          <w:rFonts w:hint="eastAsia" w:ascii="宋体" w:hAnsi="宋体" w:eastAsia="方正仿宋_GBK" w:cs="方正仿宋_GBK"/>
          <w:snapToGrid w:val="0"/>
          <w:color w:val="auto"/>
          <w:sz w:val="32"/>
          <w:szCs w:val="32"/>
          <w:highlight w:val="none"/>
        </w:rPr>
        <w:t>草种选择建议根据草种特性选择合适配比混播。</w:t>
      </w:r>
    </w:p>
    <w:p w14:paraId="4D8DB07E">
      <w:pPr>
        <w:pStyle w:val="8"/>
        <w:widowControl w:val="0"/>
        <w:adjustRightInd w:val="0"/>
        <w:snapToGrid w:val="0"/>
        <w:spacing w:line="600" w:lineRule="exact"/>
        <w:ind w:firstLine="643" w:firstLineChars="200"/>
        <w:jc w:val="both"/>
        <w:rPr>
          <w:rFonts w:ascii="宋体" w:hAnsi="宋体" w:eastAsia="方正仿宋_GBK" w:cs="方正仿宋_GBK"/>
          <w:b/>
          <w:bCs/>
          <w:snapToGrid w:val="0"/>
          <w:color w:val="auto"/>
          <w:sz w:val="32"/>
          <w:szCs w:val="32"/>
          <w:highlight w:val="none"/>
        </w:rPr>
      </w:pPr>
      <w:r>
        <w:rPr>
          <w:rFonts w:hint="eastAsia" w:ascii="宋体" w:hAnsi="宋体" w:eastAsia="方正仿宋_GBK" w:cs="方正仿宋_GBK"/>
          <w:b/>
          <w:bCs/>
          <w:snapToGrid w:val="0"/>
          <w:color w:val="auto"/>
          <w:sz w:val="32"/>
          <w:szCs w:val="32"/>
          <w:highlight w:val="none"/>
        </w:rPr>
        <w:t>3.验收指导</w:t>
      </w:r>
    </w:p>
    <w:p w14:paraId="3DBFBB2F">
      <w:pPr>
        <w:pStyle w:val="8"/>
        <w:widowControl w:val="0"/>
        <w:adjustRightInd w:val="0"/>
        <w:snapToGrid w:val="0"/>
        <w:spacing w:line="600" w:lineRule="exact"/>
        <w:ind w:firstLine="640" w:firstLineChars="200"/>
        <w:jc w:val="both"/>
        <w:rPr>
          <w:rFonts w:hint="eastAsia" w:ascii="宋体" w:hAnsi="宋体" w:eastAsia="方正仿宋_GBK" w:cs="方正仿宋_GBK"/>
          <w:snapToGrid w:val="0"/>
          <w:color w:val="auto"/>
          <w:sz w:val="32"/>
          <w:szCs w:val="32"/>
          <w:highlight w:val="none"/>
        </w:rPr>
      </w:pPr>
      <w:r>
        <w:rPr>
          <w:rFonts w:hint="eastAsia" w:ascii="宋体" w:hAnsi="宋体" w:eastAsia="方正仿宋_GBK" w:cs="方正仿宋_GBK"/>
          <w:snapToGrid w:val="0"/>
          <w:color w:val="auto"/>
          <w:sz w:val="32"/>
          <w:szCs w:val="32"/>
          <w:highlight w:val="none"/>
        </w:rPr>
        <w:t>项目完工后应对照植被恢复方案及时组织验收，验收未达到预期恢复目标的督促整改。对实施植被恢复验收不合格的，协助分析原因，需要变更植被恢复方案的及时变更</w:t>
      </w:r>
      <w:r>
        <w:rPr>
          <w:rFonts w:hint="eastAsia" w:ascii="宋体" w:hAnsi="宋体" w:eastAsia="方正仿宋_GBK" w:cs="方正仿宋_GBK"/>
          <w:snapToGrid w:val="0"/>
          <w:color w:val="auto"/>
          <w:sz w:val="32"/>
          <w:szCs w:val="32"/>
          <w:highlight w:val="none"/>
          <w:lang w:eastAsia="zh-CN"/>
        </w:rPr>
        <w:t>，</w:t>
      </w:r>
      <w:r>
        <w:rPr>
          <w:rFonts w:hint="eastAsia" w:ascii="宋体" w:hAnsi="宋体" w:eastAsia="方正仿宋_GBK" w:cs="方正仿宋_GBK"/>
          <w:snapToGrid w:val="0"/>
          <w:color w:val="auto"/>
          <w:sz w:val="32"/>
          <w:szCs w:val="32"/>
          <w:highlight w:val="none"/>
        </w:rPr>
        <w:t>通过批复后实施。鼓励建设单位开展植被恢复对比试验。</w:t>
      </w:r>
    </w:p>
    <w:p w14:paraId="0204CF0E">
      <w:pPr>
        <w:spacing w:line="600" w:lineRule="exact"/>
        <w:ind w:firstLine="640" w:firstLineChars="200"/>
        <w:rPr>
          <w:rFonts w:hint="eastAsia" w:ascii="宋体" w:hAnsi="宋体" w:eastAsia="方正楷体_GBK" w:cs="方正楷体_GBK"/>
          <w:b w:val="0"/>
          <w:bCs w:val="0"/>
          <w:snapToGrid w:val="0"/>
          <w:color w:val="000000"/>
          <w:sz w:val="32"/>
          <w:szCs w:val="32"/>
          <w:highlight w:val="none"/>
        </w:rPr>
      </w:pPr>
      <w:r>
        <w:rPr>
          <w:rFonts w:hint="eastAsia" w:ascii="宋体" w:hAnsi="宋体" w:eastAsia="方正楷体_GBK" w:cs="方正楷体_GBK"/>
          <w:b w:val="0"/>
          <w:bCs w:val="0"/>
          <w:snapToGrid w:val="0"/>
          <w:color w:val="000000"/>
          <w:sz w:val="32"/>
          <w:szCs w:val="32"/>
          <w:highlight w:val="none"/>
        </w:rPr>
        <w:t>（三）项目建成后生态管理</w:t>
      </w:r>
    </w:p>
    <w:p w14:paraId="06B0C2BB">
      <w:pPr>
        <w:spacing w:line="600" w:lineRule="exact"/>
        <w:ind w:firstLine="640"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snapToGrid w:val="0"/>
          <w:color w:val="000000"/>
          <w:sz w:val="32"/>
          <w:szCs w:val="32"/>
          <w:highlight w:val="none"/>
        </w:rPr>
        <w:t>光伏项目建成后3</w:t>
      </w:r>
      <w:r>
        <w:rPr>
          <w:rFonts w:ascii="宋体" w:hAnsi="宋体" w:eastAsia="方正仿宋_GBK" w:cs="方正仿宋_GBK"/>
          <w:snapToGrid w:val="0"/>
          <w:color w:val="000000"/>
          <w:sz w:val="32"/>
          <w:szCs w:val="32"/>
          <w:highlight w:val="none"/>
          <w:lang w:val="en"/>
        </w:rPr>
        <w:t>—</w:t>
      </w:r>
      <w:r>
        <w:rPr>
          <w:rFonts w:hint="eastAsia" w:ascii="宋体" w:hAnsi="宋体" w:eastAsia="方正仿宋_GBK" w:cs="方正仿宋_GBK"/>
          <w:snapToGrid w:val="0"/>
          <w:color w:val="000000"/>
          <w:sz w:val="32"/>
          <w:szCs w:val="32"/>
          <w:highlight w:val="none"/>
        </w:rPr>
        <w:t>5年间，应对草原生态状况进行评估，草原植被出现退化的区域</w:t>
      </w:r>
      <w:r>
        <w:rPr>
          <w:rFonts w:hint="eastAsia" w:ascii="宋体" w:hAnsi="宋体" w:eastAsia="方正仿宋_GBK" w:cs="方正仿宋_GBK"/>
          <w:snapToGrid w:val="0"/>
          <w:color w:val="000000"/>
          <w:sz w:val="32"/>
          <w:szCs w:val="32"/>
          <w:highlight w:val="none"/>
          <w:lang w:val="en-US" w:eastAsia="zh-CN"/>
        </w:rPr>
        <w:t>按照“</w:t>
      </w:r>
      <w:r>
        <w:rPr>
          <w:rFonts w:hint="eastAsia" w:ascii="宋体" w:hAnsi="宋体" w:eastAsia="方正仿宋_GBK" w:cs="方正仿宋_GBK"/>
          <w:snapToGrid w:val="0"/>
          <w:color w:val="auto"/>
          <w:sz w:val="32"/>
          <w:szCs w:val="32"/>
          <w:highlight w:val="none"/>
          <w:lang w:val="en-US" w:eastAsia="zh-CN"/>
        </w:rPr>
        <w:t>退化一片、修复一片</w:t>
      </w:r>
      <w:r>
        <w:rPr>
          <w:rFonts w:hint="eastAsia" w:ascii="宋体" w:hAnsi="宋体" w:eastAsia="方正仿宋_GBK" w:cs="方正仿宋_GBK"/>
          <w:snapToGrid w:val="0"/>
          <w:color w:val="000000"/>
          <w:sz w:val="32"/>
          <w:szCs w:val="32"/>
          <w:highlight w:val="none"/>
          <w:lang w:val="en-US" w:eastAsia="zh-CN"/>
        </w:rPr>
        <w:t>”开展退化草原生态修复，由光伏企业管理不当造成植被退化的，</w:t>
      </w:r>
      <w:r>
        <w:rPr>
          <w:rFonts w:hint="eastAsia" w:ascii="宋体" w:hAnsi="宋体" w:eastAsia="方正仿宋_GBK" w:cs="方正仿宋_GBK"/>
          <w:snapToGrid w:val="0"/>
          <w:color w:val="000000"/>
          <w:sz w:val="32"/>
          <w:szCs w:val="32"/>
          <w:highlight w:val="none"/>
        </w:rPr>
        <w:t>应</w:t>
      </w:r>
      <w:r>
        <w:rPr>
          <w:rFonts w:hint="eastAsia" w:ascii="宋体" w:hAnsi="宋体" w:eastAsia="方正仿宋_GBK" w:cs="方正仿宋_GBK"/>
          <w:snapToGrid w:val="0"/>
          <w:color w:val="000000"/>
          <w:sz w:val="32"/>
          <w:szCs w:val="32"/>
          <w:highlight w:val="none"/>
          <w:lang w:eastAsia="zh-CN"/>
        </w:rPr>
        <w:t>督促其再次</w:t>
      </w:r>
      <w:r>
        <w:rPr>
          <w:rFonts w:hint="eastAsia" w:ascii="宋体" w:hAnsi="宋体" w:eastAsia="方正仿宋_GBK" w:cs="方正仿宋_GBK"/>
          <w:snapToGrid w:val="0"/>
          <w:color w:val="000000"/>
          <w:sz w:val="32"/>
          <w:szCs w:val="32"/>
          <w:highlight w:val="none"/>
        </w:rPr>
        <w:t>实施生态修复。</w:t>
      </w:r>
    </w:p>
    <w:p w14:paraId="59CD5A6A">
      <w:pPr>
        <w:spacing w:line="600" w:lineRule="exact"/>
        <w:ind w:firstLine="643" w:firstLineChars="200"/>
        <w:rPr>
          <w:rFonts w:ascii="宋体" w:hAnsi="宋体" w:eastAsia="方正仿宋_GBK" w:cs="方正仿宋_GBK"/>
          <w:b/>
          <w:bCs/>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1.退化评估</w:t>
      </w:r>
    </w:p>
    <w:p w14:paraId="61B47E3F">
      <w:pPr>
        <w:spacing w:line="600" w:lineRule="exact"/>
        <w:ind w:firstLine="640"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snapToGrid w:val="0"/>
          <w:color w:val="000000"/>
          <w:sz w:val="32"/>
          <w:szCs w:val="32"/>
          <w:highlight w:val="none"/>
          <w:lang w:eastAsia="zh-CN"/>
        </w:rPr>
        <w:t>各地可参</w:t>
      </w:r>
      <w:r>
        <w:rPr>
          <w:rFonts w:hint="eastAsia" w:ascii="宋体" w:hAnsi="宋体" w:eastAsia="方正仿宋_GBK" w:cs="方正仿宋_GBK"/>
          <w:snapToGrid w:val="0"/>
          <w:color w:val="000000"/>
          <w:sz w:val="32"/>
          <w:szCs w:val="32"/>
          <w:highlight w:val="none"/>
        </w:rPr>
        <w:t>照《云南省健康和退化草原评估技术规程》</w:t>
      </w:r>
      <w:r>
        <w:rPr>
          <w:rFonts w:hint="eastAsia" w:ascii="宋体" w:hAnsi="宋体" w:eastAsia="方正仿宋_GBK" w:cs="方正仿宋_GBK"/>
          <w:snapToGrid w:val="0"/>
          <w:color w:val="000000"/>
          <w:sz w:val="32"/>
          <w:szCs w:val="32"/>
          <w:highlight w:val="none"/>
          <w:lang w:eastAsia="zh-CN"/>
        </w:rPr>
        <w:t>对建设区域</w:t>
      </w:r>
      <w:r>
        <w:rPr>
          <w:rFonts w:hint="eastAsia" w:ascii="宋体" w:hAnsi="宋体" w:eastAsia="方正仿宋_GBK" w:cs="方正仿宋_GBK"/>
          <w:snapToGrid w:val="0"/>
          <w:color w:val="000000"/>
          <w:sz w:val="32"/>
          <w:szCs w:val="32"/>
          <w:highlight w:val="none"/>
        </w:rPr>
        <w:t>开展草原健康和退化评估，对草原植被群落状况、地表特征、生物多样性、牧草生产性能等进行评价</w:t>
      </w:r>
      <w:r>
        <w:rPr>
          <w:rFonts w:hint="eastAsia" w:ascii="宋体" w:hAnsi="宋体" w:eastAsia="方正仿宋_GBK" w:cs="方正仿宋_GBK"/>
          <w:snapToGrid w:val="0"/>
          <w:color w:val="000000"/>
          <w:sz w:val="32"/>
          <w:szCs w:val="32"/>
          <w:highlight w:val="none"/>
          <w:lang w:eastAsia="zh-CN"/>
        </w:rPr>
        <w:t>，以便</w:t>
      </w:r>
      <w:r>
        <w:rPr>
          <w:rFonts w:hint="eastAsia" w:ascii="宋体" w:hAnsi="宋体" w:eastAsia="方正仿宋_GBK" w:cs="方正仿宋_GBK"/>
          <w:snapToGrid w:val="0"/>
          <w:color w:val="000000"/>
          <w:sz w:val="32"/>
          <w:szCs w:val="32"/>
          <w:highlight w:val="none"/>
        </w:rPr>
        <w:t>掌握项目区草原生态变化情况，</w:t>
      </w:r>
      <w:r>
        <w:rPr>
          <w:rFonts w:hint="eastAsia" w:ascii="宋体" w:hAnsi="宋体" w:eastAsia="方正仿宋_GBK" w:cs="方正仿宋_GBK"/>
          <w:snapToGrid w:val="0"/>
          <w:color w:val="000000"/>
          <w:sz w:val="32"/>
          <w:szCs w:val="32"/>
          <w:highlight w:val="none"/>
          <w:lang w:eastAsia="zh-CN"/>
        </w:rPr>
        <w:t>及时调整管理策略</w:t>
      </w:r>
      <w:r>
        <w:rPr>
          <w:rFonts w:hint="eastAsia" w:ascii="宋体" w:hAnsi="宋体" w:eastAsia="方正仿宋_GBK" w:cs="方正仿宋_GBK"/>
          <w:snapToGrid w:val="0"/>
          <w:color w:val="000000"/>
          <w:sz w:val="32"/>
          <w:szCs w:val="32"/>
          <w:highlight w:val="none"/>
        </w:rPr>
        <w:t>。</w:t>
      </w:r>
    </w:p>
    <w:p w14:paraId="61F4D525">
      <w:pPr>
        <w:spacing w:line="600" w:lineRule="exact"/>
        <w:ind w:firstLine="643" w:firstLineChars="200"/>
        <w:rPr>
          <w:rFonts w:ascii="宋体" w:hAnsi="宋体" w:eastAsia="方正仿宋_GBK" w:cs="方正仿宋_GBK"/>
          <w:b/>
          <w:bCs/>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2.生态修复</w:t>
      </w:r>
    </w:p>
    <w:p w14:paraId="29B831A3">
      <w:pPr>
        <w:spacing w:line="600" w:lineRule="exact"/>
        <w:ind w:firstLine="640" w:firstLineChars="200"/>
        <w:rPr>
          <w:rFonts w:hint="default" w:ascii="宋体" w:hAnsi="宋体" w:eastAsia="方正仿宋_GBK" w:cs="方正仿宋_GBK"/>
          <w:snapToGrid w:val="0"/>
          <w:color w:val="000000"/>
          <w:sz w:val="32"/>
          <w:szCs w:val="32"/>
          <w:highlight w:val="none"/>
          <w:lang w:val="en-US" w:eastAsia="zh-CN"/>
        </w:rPr>
      </w:pPr>
      <w:r>
        <w:rPr>
          <w:rFonts w:hint="eastAsia" w:ascii="宋体" w:hAnsi="宋体" w:eastAsia="方正仿宋_GBK" w:cs="方正仿宋_GBK"/>
          <w:snapToGrid w:val="0"/>
          <w:color w:val="000000"/>
          <w:sz w:val="32"/>
          <w:szCs w:val="32"/>
          <w:highlight w:val="none"/>
        </w:rPr>
        <w:t>经评价存在退化的草原，分析退化原因并按不同退化程度开展相应的草原生态恢复。原则上轻度退化的草原采取封育等措施，</w:t>
      </w:r>
      <w:r>
        <w:rPr>
          <w:rFonts w:hint="eastAsia" w:ascii="宋体" w:hAnsi="宋体" w:eastAsia="方正仿宋_GBK" w:cs="仿宋_GB2312"/>
          <w:snapToGrid w:val="0"/>
          <w:color w:val="000000"/>
          <w:sz w:val="32"/>
          <w:szCs w:val="32"/>
          <w:highlight w:val="none"/>
          <w:shd w:val="clear" w:color="auto" w:fill="FFFFFF"/>
        </w:rPr>
        <w:t>以自然修复为主</w:t>
      </w:r>
      <w:r>
        <w:rPr>
          <w:rFonts w:hint="eastAsia" w:ascii="宋体" w:hAnsi="宋体" w:eastAsia="方正仿宋_GBK" w:cs="方正仿宋_GBK"/>
          <w:snapToGrid w:val="0"/>
          <w:color w:val="000000"/>
          <w:sz w:val="32"/>
          <w:szCs w:val="32"/>
          <w:highlight w:val="none"/>
        </w:rPr>
        <w:t>；中度退化的采取草地改良，以人工促进恢复为主；重度退化的采取人工种草，以人工恢复为主。</w:t>
      </w:r>
      <w:r>
        <w:rPr>
          <w:rFonts w:hint="eastAsia" w:ascii="宋体" w:hAnsi="宋体" w:eastAsia="方正仿宋_GBK" w:cs="方正仿宋_GBK"/>
          <w:snapToGrid w:val="0"/>
          <w:color w:val="000000"/>
          <w:sz w:val="32"/>
          <w:szCs w:val="32"/>
          <w:highlight w:val="none"/>
          <w:lang w:val="en-US" w:eastAsia="zh-CN"/>
        </w:rPr>
        <w:t>修复技术参照《退化草原生态修复技术规程》（DB53_T 1210—2023）。</w:t>
      </w:r>
    </w:p>
    <w:p w14:paraId="56AD96D3">
      <w:pPr>
        <w:spacing w:line="600" w:lineRule="exact"/>
        <w:ind w:firstLine="640" w:firstLineChars="200"/>
        <w:rPr>
          <w:rFonts w:hint="eastAsia" w:ascii="宋体" w:hAnsi="宋体" w:eastAsia="方正黑体_GBK" w:cs="方正黑体_GBK"/>
          <w:snapToGrid w:val="0"/>
          <w:color w:val="000000"/>
          <w:sz w:val="32"/>
          <w:szCs w:val="32"/>
          <w:highlight w:val="none"/>
        </w:rPr>
      </w:pPr>
      <w:r>
        <w:rPr>
          <w:rFonts w:hint="eastAsia" w:ascii="宋体" w:hAnsi="宋体" w:eastAsia="方正黑体_GBK" w:cs="方正黑体_GBK"/>
          <w:snapToGrid w:val="0"/>
          <w:color w:val="000000"/>
          <w:sz w:val="32"/>
          <w:szCs w:val="32"/>
          <w:highlight w:val="none"/>
        </w:rPr>
        <w:t>四、技术建议</w:t>
      </w:r>
    </w:p>
    <w:p w14:paraId="2876FB58">
      <w:pPr>
        <w:spacing w:line="600" w:lineRule="exact"/>
        <w:ind w:firstLine="640"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snapToGrid w:val="0"/>
          <w:color w:val="000000"/>
          <w:sz w:val="32"/>
          <w:szCs w:val="32"/>
          <w:highlight w:val="none"/>
        </w:rPr>
        <w:t>根据</w:t>
      </w:r>
      <w:r>
        <w:rPr>
          <w:rFonts w:hint="eastAsia" w:ascii="宋体" w:hAnsi="宋体" w:eastAsia="方正仿宋_GBK" w:cs="方正仿宋_GBK"/>
          <w:snapToGrid w:val="0"/>
          <w:color w:val="000000"/>
          <w:sz w:val="32"/>
          <w:szCs w:val="32"/>
          <w:highlight w:val="none"/>
          <w:lang w:eastAsia="zh-CN"/>
        </w:rPr>
        <w:t>云南</w:t>
      </w:r>
      <w:r>
        <w:rPr>
          <w:rFonts w:hint="eastAsia" w:ascii="宋体" w:hAnsi="宋体" w:eastAsia="方正仿宋_GBK" w:cs="方正仿宋_GBK"/>
          <w:snapToGrid w:val="0"/>
          <w:color w:val="000000"/>
          <w:sz w:val="32"/>
          <w:szCs w:val="32"/>
          <w:highlight w:val="none"/>
        </w:rPr>
        <w:t>省已建</w:t>
      </w:r>
      <w:r>
        <w:rPr>
          <w:rFonts w:hint="eastAsia" w:ascii="宋体" w:hAnsi="宋体" w:eastAsia="方正仿宋_GBK" w:cs="方正仿宋_GBK"/>
          <w:snapToGrid w:val="0"/>
          <w:color w:val="000000"/>
          <w:sz w:val="32"/>
          <w:szCs w:val="32"/>
          <w:highlight w:val="none"/>
          <w:lang w:eastAsia="zh-CN"/>
        </w:rPr>
        <w:t>及</w:t>
      </w:r>
      <w:r>
        <w:rPr>
          <w:rFonts w:hint="eastAsia" w:ascii="宋体" w:hAnsi="宋体" w:eastAsia="方正仿宋_GBK" w:cs="方正仿宋_GBK"/>
          <w:snapToGrid w:val="0"/>
          <w:color w:val="000000"/>
          <w:sz w:val="32"/>
          <w:szCs w:val="32"/>
          <w:highlight w:val="none"/>
        </w:rPr>
        <w:t>拟建光伏项目</w:t>
      </w:r>
      <w:r>
        <w:rPr>
          <w:rFonts w:hint="eastAsia" w:ascii="宋体" w:hAnsi="宋体" w:eastAsia="方正仿宋_GBK" w:cs="方正仿宋_GBK"/>
          <w:snapToGrid w:val="0"/>
          <w:color w:val="000000"/>
          <w:sz w:val="32"/>
          <w:szCs w:val="32"/>
          <w:highlight w:val="none"/>
          <w:lang w:eastAsia="zh-CN"/>
        </w:rPr>
        <w:t>的分布</w:t>
      </w:r>
      <w:r>
        <w:rPr>
          <w:rFonts w:hint="eastAsia" w:ascii="宋体" w:hAnsi="宋体" w:eastAsia="方正仿宋_GBK" w:cs="方正仿宋_GBK"/>
          <w:snapToGrid w:val="0"/>
          <w:color w:val="000000"/>
          <w:sz w:val="32"/>
          <w:szCs w:val="32"/>
          <w:highlight w:val="none"/>
        </w:rPr>
        <w:t>情况，本着“因地制宜、分区施策”原则，将</w:t>
      </w:r>
      <w:r>
        <w:rPr>
          <w:rFonts w:hint="eastAsia" w:ascii="宋体" w:hAnsi="宋体" w:eastAsia="方正仿宋_GBK" w:cs="方正仿宋_GBK"/>
          <w:snapToGrid w:val="0"/>
          <w:color w:val="000000"/>
          <w:sz w:val="32"/>
          <w:szCs w:val="32"/>
          <w:highlight w:val="none"/>
          <w:lang w:eastAsia="zh-CN"/>
        </w:rPr>
        <w:t>全省</w:t>
      </w:r>
      <w:r>
        <w:rPr>
          <w:rFonts w:hint="eastAsia" w:ascii="宋体" w:hAnsi="宋体" w:eastAsia="方正仿宋_GBK" w:cs="方正仿宋_GBK"/>
          <w:snapToGrid w:val="0"/>
          <w:color w:val="000000"/>
          <w:sz w:val="32"/>
          <w:szCs w:val="32"/>
          <w:highlight w:val="none"/>
        </w:rPr>
        <w:t>草原光伏项目区分为滇东喀斯特高原区、滇东北滇西北冷凉山区、滇中干旱及干热河谷区和滇南滇西南湿热区</w:t>
      </w:r>
      <w:r>
        <w:rPr>
          <w:rFonts w:hint="eastAsia" w:ascii="宋体" w:hAnsi="宋体" w:eastAsia="方正仿宋_GBK" w:cs="方正仿宋_GBK"/>
          <w:snapToGrid w:val="0"/>
          <w:color w:val="000000"/>
          <w:sz w:val="32"/>
          <w:szCs w:val="32"/>
          <w:highlight w:val="none"/>
          <w:lang w:eastAsia="zh-CN"/>
        </w:rPr>
        <w:t>等</w:t>
      </w:r>
      <w:r>
        <w:rPr>
          <w:rFonts w:hint="eastAsia" w:ascii="宋体" w:hAnsi="宋体" w:eastAsia="方正仿宋_GBK" w:cs="方正仿宋_GBK"/>
          <w:snapToGrid w:val="0"/>
          <w:color w:val="000000"/>
          <w:sz w:val="32"/>
          <w:szCs w:val="32"/>
          <w:highlight w:val="none"/>
        </w:rPr>
        <w:t>四大区域（需以县为单位精准研判项目建设区所在的生态区位）</w:t>
      </w:r>
      <w:r>
        <w:rPr>
          <w:rFonts w:hint="eastAsia" w:ascii="宋体" w:hAnsi="宋体" w:eastAsia="方正仿宋_GBK" w:cs="方正仿宋_GBK"/>
          <w:snapToGrid w:val="0"/>
          <w:color w:val="000000"/>
          <w:sz w:val="32"/>
          <w:szCs w:val="32"/>
          <w:highlight w:val="none"/>
          <w:lang w:eastAsia="zh-CN"/>
        </w:rPr>
        <w:t>，针对不同区域提出</w:t>
      </w:r>
      <w:r>
        <w:rPr>
          <w:rFonts w:hint="eastAsia" w:ascii="宋体" w:hAnsi="宋体" w:eastAsia="方正仿宋_GBK" w:cs="方正仿宋_GBK"/>
          <w:snapToGrid w:val="0"/>
          <w:color w:val="000000"/>
          <w:sz w:val="32"/>
          <w:szCs w:val="32"/>
          <w:highlight w:val="none"/>
        </w:rPr>
        <w:t>草原植被修复及生态管理的指导建议如下：</w:t>
      </w:r>
    </w:p>
    <w:p w14:paraId="299F5C94">
      <w:pPr>
        <w:spacing w:line="600" w:lineRule="exact"/>
        <w:ind w:firstLine="640" w:firstLineChars="200"/>
        <w:rPr>
          <w:rFonts w:hint="eastAsia" w:ascii="宋体" w:hAnsi="宋体" w:eastAsia="方正楷体_GBK" w:cs="方正楷体_GBK"/>
          <w:snapToGrid w:val="0"/>
          <w:color w:val="000000"/>
          <w:sz w:val="32"/>
          <w:szCs w:val="32"/>
          <w:highlight w:val="none"/>
        </w:rPr>
      </w:pPr>
      <w:r>
        <w:rPr>
          <w:rFonts w:hint="eastAsia" w:ascii="宋体" w:hAnsi="宋体" w:eastAsia="方正楷体_GBK" w:cs="方正楷体_GBK"/>
          <w:snapToGrid w:val="0"/>
          <w:color w:val="000000"/>
          <w:sz w:val="32"/>
          <w:szCs w:val="32"/>
          <w:highlight w:val="none"/>
        </w:rPr>
        <w:t>（一）滇东喀斯特高原区</w:t>
      </w:r>
    </w:p>
    <w:p w14:paraId="46EA3463">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1.主要范围</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昆明、曲靖、红河、文山等州（市）。</w:t>
      </w:r>
    </w:p>
    <w:p w14:paraId="5F3C1C77">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2.突出特征</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以喀斯特地貌为主，石漠化问题突出。大气降水、地表水与地下水之间转换迅速，形成了地表水系与地下河系统并存的“二元”结构，地表水匮乏。土层薄、水土流失、耕地资源短缺。部分区域石漠化程度高、气候干热。草原类为热性灌草丛、热性草丛、暖性灌草丛、暖性草丛为主。</w:t>
      </w:r>
    </w:p>
    <w:p w14:paraId="1153A1F2">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3.植被恢复及生态修复措施</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种植耐旱、固土的草本、灌木，以自然恢复为主。采用“封—围—改”修复模式，即施工后通过围栏建设</w:t>
      </w:r>
      <w:r>
        <w:rPr>
          <w:rFonts w:ascii="宋体" w:hAnsi="宋体" w:eastAsia="方正仿宋_GBK" w:cs="方正仿宋_GBK"/>
          <w:snapToGrid w:val="0"/>
          <w:color w:val="000000"/>
          <w:sz w:val="32"/>
          <w:szCs w:val="32"/>
          <w:highlight w:val="none"/>
        </w:rPr>
        <w:t>控制牲畜采食和人为干扰</w:t>
      </w:r>
      <w:r>
        <w:rPr>
          <w:rFonts w:hint="eastAsia" w:ascii="宋体" w:hAnsi="宋体" w:eastAsia="方正仿宋_GBK" w:cs="方正仿宋_GBK"/>
          <w:snapToGrid w:val="0"/>
          <w:color w:val="000000"/>
          <w:sz w:val="32"/>
          <w:szCs w:val="32"/>
          <w:highlight w:val="none"/>
        </w:rPr>
        <w:t>，对工程区草原进行封育，对裸露地表进行土壤改良再开展人工种草。封育1—3年后根据草原植被恢复情况可适当利用。</w:t>
      </w:r>
    </w:p>
    <w:p w14:paraId="4CF76AD2">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4.草种、树种选择</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铺地狼尾草、狗尾草、狗牙根、黄背草、山蚂蝗、猪屎豆、菊苣、紫花苜蓿、百喜草、银背藤、仙人掌、金银花、构树、车桑子、金合欢、银合欢、马桑、火棘、紫藤、何首乌等。</w:t>
      </w:r>
    </w:p>
    <w:p w14:paraId="799F8368">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5.种植方式</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因地制宜根据后期草原利用及保护需求应当采用塘播、穴播、条播等方式种植，确保裸露地表得到有效恢复，根据具体草种，确保在合理播种期完成播种。</w:t>
      </w:r>
    </w:p>
    <w:p w14:paraId="2F7D6905">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6.基肥及追肥种类、用量</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基肥主要使用钙镁磷肥，每平方米建议用量30</w:t>
      </w:r>
      <w:r>
        <w:rPr>
          <w:rFonts w:hint="eastAsia" w:ascii="宋体" w:hAnsi="宋体" w:eastAsia="方正仿宋_GBK" w:cs="方正仿宋_GBK"/>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50克，根据实际种植面积确定；追肥主要使用复合肥，应在雨季施用。</w:t>
      </w:r>
    </w:p>
    <w:p w14:paraId="4102A24F">
      <w:pPr>
        <w:spacing w:line="600" w:lineRule="exact"/>
        <w:ind w:firstLine="640" w:firstLineChars="200"/>
        <w:rPr>
          <w:rFonts w:hint="eastAsia" w:ascii="宋体" w:hAnsi="宋体" w:eastAsia="方正楷体_GBK" w:cs="方正楷体_GBK"/>
          <w:snapToGrid w:val="0"/>
          <w:color w:val="000000"/>
          <w:sz w:val="32"/>
          <w:szCs w:val="32"/>
          <w:highlight w:val="none"/>
        </w:rPr>
      </w:pPr>
      <w:r>
        <w:rPr>
          <w:rFonts w:hint="eastAsia" w:ascii="宋体" w:hAnsi="宋体" w:eastAsia="方正楷体_GBK" w:cs="方正楷体_GBK"/>
          <w:snapToGrid w:val="0"/>
          <w:color w:val="000000"/>
          <w:sz w:val="32"/>
          <w:szCs w:val="32"/>
          <w:highlight w:val="none"/>
        </w:rPr>
        <w:t>（二）滇东北滇西北冷凉山区</w:t>
      </w:r>
    </w:p>
    <w:p w14:paraId="5838CFA6">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1.主要范围</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昆明、曲靖、昭通、丽江、迪庆、怒江等州（市）。</w:t>
      </w:r>
    </w:p>
    <w:p w14:paraId="5073EA3D">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2.突出特征</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年均气温5</w:t>
      </w:r>
      <w:r>
        <w:rPr>
          <w:rFonts w:ascii="宋体" w:hAnsi="宋体" w:eastAsia="方正仿宋_GBK" w:cs="方正仿宋_GBK"/>
          <w:snapToGrid w:val="0"/>
          <w:color w:val="000000"/>
          <w:sz w:val="32"/>
          <w:szCs w:val="32"/>
          <w:highlight w:val="none"/>
          <w:lang w:val="en"/>
        </w:rPr>
        <w:t>—</w:t>
      </w:r>
      <w:r>
        <w:rPr>
          <w:rFonts w:hint="eastAsia" w:ascii="宋体" w:hAnsi="宋体" w:eastAsia="方正仿宋_GBK" w:cs="方正仿宋_GBK"/>
          <w:snapToGrid w:val="0"/>
          <w:color w:val="000000"/>
          <w:sz w:val="32"/>
          <w:szCs w:val="32"/>
          <w:highlight w:val="none"/>
        </w:rPr>
        <w:t>15</w:t>
      </w:r>
      <w:r>
        <w:rPr>
          <w:rFonts w:hint="eastAsia" w:ascii="宋体" w:hAnsi="宋体" w:eastAsia="方正仿宋_GBK" w:cs="方正仿宋_GBK"/>
          <w:snapToGrid w:val="0"/>
          <w:color w:val="000000"/>
          <w:sz w:val="32"/>
          <w:szCs w:val="32"/>
          <w:highlight w:val="none"/>
          <w:lang w:eastAsia="zh-CN"/>
        </w:rPr>
        <w:t>摄氏度</w:t>
      </w:r>
      <w:r>
        <w:rPr>
          <w:rFonts w:hint="eastAsia" w:ascii="宋体" w:hAnsi="宋体" w:eastAsia="方正仿宋_GBK" w:cs="方正仿宋_GBK"/>
          <w:snapToGrid w:val="0"/>
          <w:color w:val="000000"/>
          <w:sz w:val="32"/>
          <w:szCs w:val="32"/>
          <w:highlight w:val="none"/>
        </w:rPr>
        <w:t>，气候湿润、寒冷，昼夜温差大、四季分明，年均日照时数1000</w:t>
      </w:r>
      <w:r>
        <w:rPr>
          <w:rFonts w:ascii="宋体" w:hAnsi="宋体" w:eastAsia="方正仿宋_GBK" w:cs="方正仿宋_GBK"/>
          <w:snapToGrid w:val="0"/>
          <w:color w:val="000000"/>
          <w:sz w:val="32"/>
          <w:szCs w:val="32"/>
          <w:highlight w:val="none"/>
          <w:lang w:val="en"/>
        </w:rPr>
        <w:t>—</w:t>
      </w:r>
      <w:r>
        <w:rPr>
          <w:rFonts w:hint="eastAsia" w:ascii="宋体" w:hAnsi="宋体" w:eastAsia="方正仿宋_GBK" w:cs="方正仿宋_GBK"/>
          <w:snapToGrid w:val="0"/>
          <w:color w:val="000000"/>
          <w:sz w:val="32"/>
          <w:szCs w:val="32"/>
          <w:highlight w:val="none"/>
        </w:rPr>
        <w:t>2800小时。草原类以低地草甸、山地草地、高寒草甸为主。</w:t>
      </w:r>
    </w:p>
    <w:p w14:paraId="7D33373E">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3.植被恢复及生态修复措施</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种植耐寒、耐阴植物，3200米海拔以上以自然恢复为主，对裸露地表进行土壤改良后再开展植被恢复，推荐使用植生袋技术。山地草甸大部分区域可采取松土补播等方式种植优良牧草，部分区域封育1</w:t>
      </w:r>
      <w:r>
        <w:rPr>
          <w:rFonts w:ascii="宋体" w:hAnsi="宋体" w:eastAsia="方正仿宋_GBK" w:cs="方正仿宋_GBK"/>
          <w:snapToGrid w:val="0"/>
          <w:color w:val="000000"/>
          <w:sz w:val="32"/>
          <w:szCs w:val="32"/>
          <w:highlight w:val="none"/>
          <w:lang w:val="en"/>
        </w:rPr>
        <w:t>—</w:t>
      </w:r>
      <w:r>
        <w:rPr>
          <w:rFonts w:hint="eastAsia" w:ascii="宋体" w:hAnsi="宋体" w:eastAsia="方正仿宋_GBK" w:cs="方正仿宋_GBK"/>
          <w:snapToGrid w:val="0"/>
          <w:color w:val="000000"/>
          <w:sz w:val="32"/>
          <w:szCs w:val="32"/>
          <w:highlight w:val="none"/>
        </w:rPr>
        <w:t>2年进行自然恢复。</w:t>
      </w:r>
    </w:p>
    <w:p w14:paraId="28743497">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4.草种、树种选择</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百脉根、西南野古草、无芒雀麦、鸭茅、白三叶、草地早熟禾、紫羊茅、苇状羊茅（高羊茅）、披碱草、黑穗画眉草、芸香草、杜鹃、金露梅、高山柳等。</w:t>
      </w:r>
    </w:p>
    <w:p w14:paraId="2E77AE88">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5.种植方式</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裸露地块全垦整地种植，非裸露地块划破草皮后播种、施肥；以条播、带状种植的，带间距</w:t>
      </w:r>
      <w:r>
        <w:rPr>
          <w:rFonts w:hint="eastAsia" w:ascii="宋体" w:hAnsi="宋体" w:eastAsia="方正仿宋_GBK" w:cs="方正仿宋_GBK"/>
          <w:snapToGrid w:val="0"/>
          <w:color w:val="000000"/>
          <w:sz w:val="32"/>
          <w:szCs w:val="32"/>
          <w:highlight w:val="none"/>
          <w:lang w:eastAsia="zh-CN"/>
        </w:rPr>
        <w:t>控制在</w:t>
      </w:r>
      <w:r>
        <w:rPr>
          <w:rFonts w:hint="eastAsia" w:ascii="宋体" w:hAnsi="宋体" w:eastAsia="方正仿宋_GBK" w:cs="方正仿宋_GBK"/>
          <w:snapToGrid w:val="0"/>
          <w:color w:val="000000"/>
          <w:sz w:val="32"/>
          <w:szCs w:val="32"/>
          <w:highlight w:val="none"/>
        </w:rPr>
        <w:t>0.5</w:t>
      </w:r>
      <w:r>
        <w:rPr>
          <w:rFonts w:hint="eastAsia" w:ascii="宋体" w:hAnsi="宋体" w:eastAsia="方正仿宋_GBK" w:cs="方正仿宋_GBK"/>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1米。</w:t>
      </w:r>
    </w:p>
    <w:p w14:paraId="07087BDF">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6.基肥及追肥种类、用量</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基肥主要使用钙镁磷肥，每亩用量25</w:t>
      </w:r>
      <w:r>
        <w:rPr>
          <w:rFonts w:ascii="宋体" w:hAnsi="宋体" w:eastAsia="方正仿宋_GBK" w:cs="方正仿宋_GBK"/>
          <w:snapToGrid w:val="0"/>
          <w:color w:val="000000"/>
          <w:sz w:val="32"/>
          <w:szCs w:val="32"/>
          <w:highlight w:val="none"/>
          <w:lang w:val="en"/>
        </w:rPr>
        <w:t>—</w:t>
      </w:r>
      <w:r>
        <w:rPr>
          <w:rFonts w:hint="eastAsia" w:ascii="宋体" w:hAnsi="宋体" w:eastAsia="方正仿宋_GBK" w:cs="方正仿宋_GBK"/>
          <w:snapToGrid w:val="0"/>
          <w:color w:val="000000"/>
          <w:sz w:val="32"/>
          <w:szCs w:val="32"/>
          <w:highlight w:val="none"/>
        </w:rPr>
        <w:t>30千克，根据实际种植面积确定具体用量；追肥主要使用复合肥，应在雨季施用。</w:t>
      </w:r>
    </w:p>
    <w:p w14:paraId="1FBA9709">
      <w:pPr>
        <w:spacing w:line="600" w:lineRule="exact"/>
        <w:ind w:firstLine="640" w:firstLineChars="200"/>
        <w:rPr>
          <w:rFonts w:hint="eastAsia" w:ascii="宋体" w:hAnsi="宋体" w:eastAsia="方正楷体_GBK" w:cs="方正楷体_GBK"/>
          <w:snapToGrid w:val="0"/>
          <w:color w:val="000000"/>
          <w:sz w:val="32"/>
          <w:szCs w:val="32"/>
          <w:highlight w:val="none"/>
        </w:rPr>
      </w:pPr>
      <w:r>
        <w:rPr>
          <w:rFonts w:hint="eastAsia" w:ascii="宋体" w:hAnsi="宋体" w:eastAsia="方正楷体_GBK" w:cs="方正楷体_GBK"/>
          <w:snapToGrid w:val="0"/>
          <w:color w:val="000000"/>
          <w:sz w:val="32"/>
          <w:szCs w:val="32"/>
          <w:highlight w:val="none"/>
        </w:rPr>
        <w:t>（三）滇中干旱及干热河谷区</w:t>
      </w:r>
    </w:p>
    <w:p w14:paraId="71D63D32">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1.主要范围</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昆明、玉溪、楚雄、大理、丽江等州（市）。</w:t>
      </w:r>
    </w:p>
    <w:p w14:paraId="14BE937E">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2.突出特征</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以酸性红壤、燥红壤为主，质地多为羊肝石、页岩风化形成的沙壤土，土层浅薄、结构性差、保水保肥能力弱。气候属于亚热带干热气候，年均蒸发量远大于降水量，冬春季节性干旱异常突出，植被稀疏，生态系统脆弱。草原类以干热稀疏灌草丛、热性灌草丛、热性草丛为主。</w:t>
      </w:r>
    </w:p>
    <w:p w14:paraId="0BF7DABD">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3.植被恢复及生态修复措施</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种植耐旱、固土的草本、灌木，以自然恢复为主，裸露地块采取人工种草。河谷两岸建议配套“光伏提水”设施，提升植被恢复能力；其他区域，采用“封—围—改”修复模式，即施工后通过围栏建设</w:t>
      </w:r>
      <w:r>
        <w:rPr>
          <w:rFonts w:ascii="宋体" w:hAnsi="宋体" w:eastAsia="方正仿宋_GBK" w:cs="方正仿宋_GBK"/>
          <w:snapToGrid w:val="0"/>
          <w:color w:val="000000"/>
          <w:sz w:val="32"/>
          <w:szCs w:val="32"/>
          <w:highlight w:val="none"/>
        </w:rPr>
        <w:t>控制牲畜采食和人为干扰</w:t>
      </w:r>
      <w:r>
        <w:rPr>
          <w:rFonts w:hint="eastAsia" w:ascii="宋体" w:hAnsi="宋体" w:eastAsia="方正仿宋_GBK" w:cs="方正仿宋_GBK"/>
          <w:snapToGrid w:val="0"/>
          <w:color w:val="000000"/>
          <w:sz w:val="32"/>
          <w:szCs w:val="32"/>
          <w:highlight w:val="none"/>
        </w:rPr>
        <w:t>，对工程区草原进行封育，对裸露地表进行土壤改良再开展人工种草。封育1</w:t>
      </w:r>
      <w:r>
        <w:rPr>
          <w:rFonts w:ascii="宋体" w:hAnsi="宋体" w:eastAsia="方正仿宋_GBK" w:cs="方正仿宋_GBK"/>
          <w:snapToGrid w:val="0"/>
          <w:color w:val="000000"/>
          <w:sz w:val="32"/>
          <w:szCs w:val="32"/>
          <w:highlight w:val="none"/>
          <w:lang w:val="en"/>
        </w:rPr>
        <w:t>—</w:t>
      </w:r>
      <w:r>
        <w:rPr>
          <w:rFonts w:hint="eastAsia" w:ascii="宋体" w:hAnsi="宋体" w:eastAsia="方正仿宋_GBK" w:cs="方正仿宋_GBK"/>
          <w:snapToGrid w:val="0"/>
          <w:color w:val="000000"/>
          <w:sz w:val="32"/>
          <w:szCs w:val="32"/>
          <w:highlight w:val="none"/>
        </w:rPr>
        <w:t>3年后根据草原植被恢复情况可适当利用。</w:t>
      </w:r>
    </w:p>
    <w:p w14:paraId="2DFABBF1">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4.草种、树种选择</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狗牙根、铺地狼尾草、臂形草、地毯草、百喜草、紫花苜蓿、画眉草、丛毛羊胡子草、假俭草、野牛草、狼尾草、结缕草、芦荟、仙人掌、金合欢、银合欢、车桑子等。</w:t>
      </w:r>
    </w:p>
    <w:p w14:paraId="1A05410C">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5.种植方式</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沙质土壤以免耕播种、覆盖养护为主；土壤贫瘠、土层薄的区域先做土壤改良，施工结束后覆土再撒播草种。</w:t>
      </w:r>
    </w:p>
    <w:p w14:paraId="34058304">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6.基肥及追肥种类、用量</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基肥每亩施农家肥2</w:t>
      </w:r>
      <w:r>
        <w:rPr>
          <w:rFonts w:ascii="宋体" w:hAnsi="宋体" w:eastAsia="方正仿宋_GBK" w:cs="方正仿宋_GBK"/>
          <w:snapToGrid w:val="0"/>
          <w:color w:val="000000"/>
          <w:sz w:val="32"/>
          <w:szCs w:val="32"/>
          <w:highlight w:val="none"/>
          <w:lang w:val="en"/>
        </w:rPr>
        <w:t>—</w:t>
      </w:r>
      <w:r>
        <w:rPr>
          <w:rFonts w:hint="eastAsia" w:ascii="宋体" w:hAnsi="宋体" w:eastAsia="方正仿宋_GBK" w:cs="方正仿宋_GBK"/>
          <w:snapToGrid w:val="0"/>
          <w:color w:val="000000"/>
          <w:sz w:val="32"/>
          <w:szCs w:val="32"/>
          <w:highlight w:val="none"/>
        </w:rPr>
        <w:t>3吨，钙镁磷肥每亩用量30</w:t>
      </w:r>
      <w:r>
        <w:rPr>
          <w:rFonts w:ascii="宋体" w:hAnsi="宋体" w:eastAsia="方正仿宋_GBK" w:cs="方正仿宋_GBK"/>
          <w:snapToGrid w:val="0"/>
          <w:color w:val="000000"/>
          <w:sz w:val="32"/>
          <w:szCs w:val="32"/>
          <w:highlight w:val="none"/>
          <w:lang w:val="en"/>
        </w:rPr>
        <w:t>—</w:t>
      </w:r>
      <w:r>
        <w:rPr>
          <w:rFonts w:hint="eastAsia" w:ascii="宋体" w:hAnsi="宋体" w:eastAsia="方正仿宋_GBK" w:cs="方正仿宋_GBK"/>
          <w:snapToGrid w:val="0"/>
          <w:color w:val="000000"/>
          <w:sz w:val="32"/>
          <w:szCs w:val="32"/>
          <w:highlight w:val="none"/>
        </w:rPr>
        <w:t>35千克，具体用量根据实际种植面积确定；追肥主要使用复合肥，应在雨季施用。</w:t>
      </w:r>
    </w:p>
    <w:p w14:paraId="252500C1">
      <w:pPr>
        <w:spacing w:line="600" w:lineRule="exact"/>
        <w:ind w:firstLine="640" w:firstLineChars="200"/>
        <w:rPr>
          <w:rFonts w:hint="eastAsia" w:ascii="宋体" w:hAnsi="宋体" w:eastAsia="方正楷体_GBK" w:cs="方正楷体_GBK"/>
          <w:snapToGrid w:val="0"/>
          <w:color w:val="000000"/>
          <w:sz w:val="32"/>
          <w:szCs w:val="32"/>
          <w:highlight w:val="none"/>
        </w:rPr>
      </w:pPr>
      <w:r>
        <w:rPr>
          <w:rFonts w:hint="eastAsia" w:ascii="宋体" w:hAnsi="宋体" w:eastAsia="方正楷体_GBK" w:cs="方正楷体_GBK"/>
          <w:snapToGrid w:val="0"/>
          <w:color w:val="000000"/>
          <w:sz w:val="32"/>
          <w:szCs w:val="32"/>
          <w:highlight w:val="none"/>
        </w:rPr>
        <w:t>（四）滇南滇西南湿热区</w:t>
      </w:r>
    </w:p>
    <w:p w14:paraId="3BC874BE">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1.</w:t>
      </w:r>
      <w:r>
        <w:rPr>
          <w:rFonts w:hint="eastAsia" w:ascii="宋体" w:hAnsi="宋体" w:eastAsia="方正仿宋_GBK" w:cs="方正仿宋_GBK"/>
          <w:b/>
          <w:bCs/>
          <w:snapToGrid w:val="0"/>
          <w:color w:val="000000"/>
          <w:sz w:val="32"/>
          <w:szCs w:val="32"/>
          <w:highlight w:val="none"/>
          <w:lang w:val="en-US" w:eastAsia="zh-CN"/>
        </w:rPr>
        <w:t>主要</w:t>
      </w:r>
      <w:r>
        <w:rPr>
          <w:rFonts w:hint="eastAsia" w:ascii="宋体" w:hAnsi="宋体" w:eastAsia="方正仿宋_GBK" w:cs="方正仿宋_GBK"/>
          <w:b/>
          <w:bCs/>
          <w:snapToGrid w:val="0"/>
          <w:color w:val="000000"/>
          <w:sz w:val="32"/>
          <w:szCs w:val="32"/>
          <w:highlight w:val="none"/>
        </w:rPr>
        <w:t>范围</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西双版纳、普洱、临沧、保山、德宏、红河、文山等州（市）。</w:t>
      </w:r>
    </w:p>
    <w:p w14:paraId="53FA397D">
      <w:pPr>
        <w:spacing w:line="600" w:lineRule="exact"/>
        <w:ind w:firstLine="643" w:firstLineChars="200"/>
        <w:rPr>
          <w:rFonts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2.突出特征</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温暖湿润、降雨多且雨季长、高湿多雾、干湿季分明、多雷暴，植被茂密，土壤偏酸。</w:t>
      </w:r>
    </w:p>
    <w:p w14:paraId="56F9948C">
      <w:pPr>
        <w:spacing w:line="600" w:lineRule="exact"/>
        <w:ind w:firstLine="643" w:firstLineChars="200"/>
        <w:rPr>
          <w:rFonts w:ascii="宋体" w:hAnsi="宋体" w:eastAsia="方正仿宋_GBK" w:cs="方正仿宋_GBK"/>
          <w:snapToGrid w:val="0"/>
          <w:color w:val="000000"/>
          <w:sz w:val="32"/>
          <w:szCs w:val="32"/>
          <w:highlight w:val="none"/>
        </w:rPr>
      </w:pPr>
      <w:r>
        <w:rPr>
          <w:rFonts w:ascii="宋体" w:hAnsi="宋体" w:eastAsia="方正仿宋_GBK" w:cs="方正仿宋_GBK"/>
          <w:b/>
          <w:bCs/>
          <w:snapToGrid w:val="0"/>
          <w:color w:val="000000"/>
          <w:sz w:val="32"/>
          <w:szCs w:val="32"/>
          <w:highlight w:val="none"/>
        </w:rPr>
        <w:t>3.植被恢复及生态修复措施</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裸露地块</w:t>
      </w:r>
      <w:r>
        <w:rPr>
          <w:rFonts w:ascii="宋体" w:hAnsi="宋体" w:eastAsia="方正仿宋_GBK" w:cs="方正仿宋_GBK"/>
          <w:snapToGrid w:val="0"/>
          <w:color w:val="000000"/>
          <w:sz w:val="32"/>
          <w:szCs w:val="32"/>
          <w:highlight w:val="none"/>
        </w:rPr>
        <w:t>植被恢复的首选种植耐热、喜湿润的乡土草本植物</w:t>
      </w:r>
      <w:r>
        <w:rPr>
          <w:rFonts w:hint="eastAsia" w:ascii="宋体" w:hAnsi="宋体" w:eastAsia="方正仿宋_GBK" w:cs="方正仿宋_GBK"/>
          <w:snapToGrid w:val="0"/>
          <w:color w:val="000000"/>
          <w:sz w:val="32"/>
          <w:szCs w:val="32"/>
          <w:highlight w:val="none"/>
        </w:rPr>
        <w:t>人工种植</w:t>
      </w:r>
      <w:r>
        <w:rPr>
          <w:rFonts w:ascii="宋体" w:hAnsi="宋体" w:eastAsia="方正仿宋_GBK" w:cs="方正仿宋_GBK"/>
          <w:snapToGrid w:val="0"/>
          <w:color w:val="000000"/>
          <w:sz w:val="32"/>
          <w:szCs w:val="32"/>
          <w:highlight w:val="none"/>
        </w:rPr>
        <w:t>。鉴于其</w:t>
      </w:r>
      <w:r>
        <w:rPr>
          <w:rFonts w:hint="eastAsia" w:ascii="宋体" w:hAnsi="宋体" w:eastAsia="方正仿宋_GBK" w:cs="方正仿宋_GBK"/>
          <w:snapToGrid w:val="0"/>
          <w:color w:val="000000"/>
          <w:sz w:val="32"/>
          <w:szCs w:val="32"/>
          <w:highlight w:val="none"/>
        </w:rPr>
        <w:t>良好</w:t>
      </w:r>
      <w:r>
        <w:rPr>
          <w:rFonts w:ascii="宋体" w:hAnsi="宋体" w:eastAsia="方正仿宋_GBK" w:cs="方正仿宋_GBK"/>
          <w:snapToGrid w:val="0"/>
          <w:color w:val="000000"/>
          <w:sz w:val="32"/>
          <w:szCs w:val="32"/>
          <w:highlight w:val="none"/>
        </w:rPr>
        <w:t>的水热条件，须加强草地管理和利用，通过适度刈割等方式控制草层高度。特别注意的是，若引入巨菌草、皇竹草等高大禾草，须进行高强度的集约化管理和年度性刈割，</w:t>
      </w:r>
      <w:r>
        <w:rPr>
          <w:rFonts w:hint="eastAsia" w:ascii="宋体" w:hAnsi="宋体" w:eastAsia="方正仿宋_GBK" w:cs="方正仿宋_GBK"/>
          <w:snapToGrid w:val="0"/>
          <w:color w:val="000000"/>
          <w:sz w:val="32"/>
          <w:szCs w:val="32"/>
          <w:highlight w:val="none"/>
        </w:rPr>
        <w:t>或选用适配的药用草种，</w:t>
      </w:r>
      <w:r>
        <w:rPr>
          <w:rFonts w:ascii="宋体" w:hAnsi="宋体" w:eastAsia="方正仿宋_GBK" w:cs="方正仿宋_GBK"/>
          <w:snapToGrid w:val="0"/>
          <w:color w:val="000000"/>
          <w:sz w:val="32"/>
          <w:szCs w:val="32"/>
          <w:highlight w:val="none"/>
        </w:rPr>
        <w:t>确保及时利用。</w:t>
      </w:r>
    </w:p>
    <w:p w14:paraId="686F9ACC">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4.草种、树种选择</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巨菌草、皇竹草、地毯草、芒草、假俭草、结缕草、狗尾草、黄背草、狼尾草、山蚂蝗、穗序木蓝、猪屎豆、菊苣、银背藤、金银花、构树、马桑、火棘、紫藤、何首乌。</w:t>
      </w:r>
    </w:p>
    <w:p w14:paraId="5F1E2719">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5.种植方式</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裸露地块全垦整地种植，非裸露地块划破草皮后播种、施肥；以条播、带状种植的，带间距</w:t>
      </w:r>
      <w:r>
        <w:rPr>
          <w:rFonts w:hint="eastAsia" w:ascii="宋体" w:hAnsi="宋体" w:eastAsia="方正仿宋_GBK" w:cs="方正仿宋_GBK"/>
          <w:snapToGrid w:val="0"/>
          <w:color w:val="000000"/>
          <w:sz w:val="32"/>
          <w:szCs w:val="32"/>
          <w:highlight w:val="none"/>
          <w:lang w:eastAsia="zh-CN"/>
        </w:rPr>
        <w:t>控制在</w:t>
      </w:r>
      <w:r>
        <w:rPr>
          <w:rFonts w:hint="eastAsia" w:ascii="宋体" w:hAnsi="宋体" w:eastAsia="方正仿宋_GBK" w:cs="方正仿宋_GBK"/>
          <w:snapToGrid w:val="0"/>
          <w:color w:val="000000"/>
          <w:sz w:val="32"/>
          <w:szCs w:val="32"/>
          <w:highlight w:val="none"/>
        </w:rPr>
        <w:t>0.5</w:t>
      </w:r>
      <w:r>
        <w:rPr>
          <w:rFonts w:hint="eastAsia" w:ascii="宋体" w:hAnsi="宋体" w:eastAsia="方正仿宋_GBK" w:cs="方正仿宋_GBK"/>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1米。</w:t>
      </w:r>
    </w:p>
    <w:p w14:paraId="1BBEE893">
      <w:pPr>
        <w:spacing w:line="600" w:lineRule="exact"/>
        <w:ind w:firstLine="643" w:firstLineChars="200"/>
        <w:rPr>
          <w:rFonts w:hint="eastAsia" w:ascii="宋体" w:hAnsi="宋体" w:eastAsia="方正仿宋_GBK" w:cs="方正仿宋_GBK"/>
          <w:snapToGrid w:val="0"/>
          <w:color w:val="000000"/>
          <w:sz w:val="32"/>
          <w:szCs w:val="32"/>
          <w:highlight w:val="none"/>
        </w:rPr>
      </w:pPr>
      <w:r>
        <w:rPr>
          <w:rFonts w:hint="eastAsia" w:ascii="宋体" w:hAnsi="宋体" w:eastAsia="方正仿宋_GBK" w:cs="方正仿宋_GBK"/>
          <w:b/>
          <w:bCs/>
          <w:snapToGrid w:val="0"/>
          <w:color w:val="000000"/>
          <w:sz w:val="32"/>
          <w:szCs w:val="32"/>
          <w:highlight w:val="none"/>
        </w:rPr>
        <w:t>6.基肥及追肥种类、用量</w:t>
      </w:r>
      <w:r>
        <w:rPr>
          <w:rFonts w:hint="eastAsia" w:ascii="宋体" w:hAnsi="宋体" w:eastAsia="方正仿宋_GBK" w:cs="方正仿宋_GBK"/>
          <w:b/>
          <w:bCs/>
          <w:snapToGrid w:val="0"/>
          <w:color w:val="000000"/>
          <w:sz w:val="32"/>
          <w:szCs w:val="32"/>
          <w:highlight w:val="none"/>
          <w:lang w:eastAsia="zh-CN"/>
        </w:rPr>
        <w:t>。</w:t>
      </w:r>
      <w:r>
        <w:rPr>
          <w:rFonts w:hint="eastAsia" w:ascii="宋体" w:hAnsi="宋体" w:eastAsia="方正仿宋_GBK" w:cs="方正仿宋_GBK"/>
          <w:snapToGrid w:val="0"/>
          <w:color w:val="000000"/>
          <w:sz w:val="32"/>
          <w:szCs w:val="32"/>
          <w:highlight w:val="none"/>
        </w:rPr>
        <w:t>基肥以钙镁磷肥为主，每亩用量25</w:t>
      </w:r>
      <w:r>
        <w:rPr>
          <w:rFonts w:ascii="宋体" w:hAnsi="宋体" w:eastAsia="方正仿宋_GBK" w:cs="方正仿宋_GBK"/>
          <w:snapToGrid w:val="0"/>
          <w:color w:val="000000"/>
          <w:sz w:val="32"/>
          <w:szCs w:val="32"/>
          <w:highlight w:val="none"/>
          <w:lang w:val="en"/>
        </w:rPr>
        <w:t>—</w:t>
      </w:r>
      <w:r>
        <w:rPr>
          <w:rFonts w:hint="eastAsia" w:ascii="宋体" w:hAnsi="宋体" w:eastAsia="方正仿宋_GBK" w:cs="方正仿宋_GBK"/>
          <w:snapToGrid w:val="0"/>
          <w:color w:val="000000"/>
          <w:sz w:val="32"/>
          <w:szCs w:val="32"/>
          <w:highlight w:val="none"/>
        </w:rPr>
        <w:t>30千克，具体用量根据实际种草面积确定；追肥每茬刈割后追施尿素为主，在雨季进行追肥。</w:t>
      </w:r>
    </w:p>
    <w:p w14:paraId="5FE4BF27">
      <w:pPr>
        <w:spacing w:line="600" w:lineRule="exact"/>
        <w:ind w:firstLine="640" w:firstLineChars="200"/>
        <w:rPr>
          <w:rFonts w:hint="eastAsia" w:ascii="宋体" w:hAnsi="宋体" w:eastAsia="方正仿宋_GBK" w:cs="方正仿宋_GBK"/>
          <w:snapToGrid w:val="0"/>
          <w:color w:val="000000"/>
          <w:sz w:val="32"/>
          <w:szCs w:val="32"/>
          <w:highlight w:val="none"/>
        </w:rPr>
      </w:pPr>
    </w:p>
    <w:p w14:paraId="012FD494">
      <w:pPr>
        <w:spacing w:line="600" w:lineRule="exact"/>
        <w:ind w:firstLine="640" w:firstLineChars="200"/>
        <w:rPr>
          <w:rFonts w:hint="eastAsia" w:ascii="宋体" w:hAnsi="宋体" w:eastAsia="方正仿宋_GBK" w:cs="方正仿宋_GBK"/>
          <w:snapToGrid w:val="0"/>
          <w:color w:val="000000"/>
          <w:kern w:val="0"/>
          <w:sz w:val="32"/>
          <w:szCs w:val="32"/>
          <w:highlight w:val="none"/>
          <w:lang w:bidi="ar"/>
        </w:rPr>
      </w:pPr>
      <w:r>
        <w:rPr>
          <w:rFonts w:hint="eastAsia" w:ascii="宋体" w:hAnsi="宋体" w:eastAsia="方正仿宋_GBK" w:cs="方正仿宋_GBK"/>
          <w:snapToGrid w:val="0"/>
          <w:color w:val="000000"/>
          <w:kern w:val="0"/>
          <w:sz w:val="32"/>
          <w:szCs w:val="32"/>
          <w:highlight w:val="none"/>
          <w:lang w:bidi="ar"/>
        </w:rPr>
        <w:t>附</w:t>
      </w:r>
      <w:r>
        <w:rPr>
          <w:rFonts w:hint="eastAsia" w:ascii="宋体" w:hAnsi="宋体" w:eastAsia="方正仿宋_GBK" w:cs="方正仿宋_GBK"/>
          <w:snapToGrid w:val="0"/>
          <w:color w:val="000000"/>
          <w:kern w:val="0"/>
          <w:sz w:val="32"/>
          <w:szCs w:val="32"/>
          <w:highlight w:val="none"/>
          <w:lang w:eastAsia="zh-CN" w:bidi="ar"/>
        </w:rPr>
        <w:t>件：</w:t>
      </w:r>
      <w:r>
        <w:rPr>
          <w:rFonts w:hint="eastAsia" w:ascii="宋体" w:hAnsi="宋体" w:eastAsia="方正仿宋_GBK" w:cs="方正仿宋_GBK"/>
          <w:snapToGrid w:val="0"/>
          <w:color w:val="000000"/>
          <w:kern w:val="0"/>
          <w:sz w:val="32"/>
          <w:szCs w:val="32"/>
          <w:highlight w:val="none"/>
          <w:lang w:val="en-US" w:eastAsia="zh-CN" w:bidi="ar"/>
        </w:rPr>
        <w:t>1.</w:t>
      </w:r>
      <w:r>
        <w:rPr>
          <w:rFonts w:hint="eastAsia" w:ascii="宋体" w:hAnsi="宋体" w:eastAsia="方正仿宋_GBK" w:cs="方正仿宋_GBK"/>
          <w:snapToGrid w:val="0"/>
          <w:color w:val="000000"/>
          <w:kern w:val="0"/>
          <w:sz w:val="32"/>
          <w:szCs w:val="32"/>
          <w:highlight w:val="none"/>
          <w:lang w:bidi="ar"/>
        </w:rPr>
        <w:t>光伏项目监测调查表</w:t>
      </w:r>
    </w:p>
    <w:p w14:paraId="447A41F2">
      <w:pPr>
        <w:spacing w:line="600" w:lineRule="exact"/>
        <w:ind w:firstLine="640" w:firstLineChars="200"/>
        <w:rPr>
          <w:rFonts w:hint="eastAsia" w:ascii="宋体" w:hAnsi="宋体" w:eastAsia="方正仿宋_GBK" w:cs="方正仿宋_GBK"/>
          <w:snapToGrid w:val="0"/>
          <w:color w:val="000000"/>
          <w:kern w:val="0"/>
          <w:sz w:val="32"/>
          <w:szCs w:val="32"/>
          <w:highlight w:val="none"/>
          <w:lang w:eastAsia="zh-CN" w:bidi="ar"/>
        </w:rPr>
      </w:pPr>
      <w:r>
        <w:rPr>
          <w:rFonts w:hint="eastAsia" w:ascii="宋体" w:hAnsi="宋体" w:eastAsia="方正仿宋_GBK" w:cs="方正仿宋_GBK"/>
          <w:snapToGrid w:val="0"/>
          <w:color w:val="000000"/>
          <w:kern w:val="0"/>
          <w:sz w:val="32"/>
          <w:szCs w:val="32"/>
          <w:highlight w:val="none"/>
          <w:lang w:val="en-US" w:eastAsia="zh-CN" w:bidi="ar"/>
        </w:rPr>
        <w:t xml:space="preserve">      </w:t>
      </w:r>
      <w:r>
        <w:rPr>
          <w:rFonts w:hint="eastAsia" w:ascii="宋体" w:hAnsi="宋体" w:eastAsia="方正仿宋_GBK" w:cs="方正仿宋_GBK"/>
          <w:snapToGrid w:val="0"/>
          <w:color w:val="000000"/>
          <w:kern w:val="0"/>
          <w:sz w:val="32"/>
          <w:szCs w:val="32"/>
          <w:highlight w:val="none"/>
          <w:lang w:eastAsia="zh-CN" w:bidi="ar"/>
        </w:rPr>
        <w:t>2</w:t>
      </w:r>
      <w:r>
        <w:rPr>
          <w:rFonts w:hint="eastAsia" w:ascii="宋体" w:hAnsi="宋体" w:eastAsia="方正仿宋_GBK" w:cs="方正仿宋_GBK"/>
          <w:snapToGrid w:val="0"/>
          <w:color w:val="000000"/>
          <w:kern w:val="0"/>
          <w:sz w:val="32"/>
          <w:szCs w:val="32"/>
          <w:highlight w:val="none"/>
          <w:lang w:val="en-US" w:eastAsia="zh-CN" w:bidi="ar"/>
        </w:rPr>
        <w:t>.</w:t>
      </w:r>
      <w:r>
        <w:rPr>
          <w:rFonts w:hint="eastAsia" w:ascii="宋体" w:hAnsi="宋体" w:eastAsia="方正仿宋_GBK" w:cs="方正仿宋_GBK"/>
          <w:b w:val="0"/>
          <w:bCs w:val="0"/>
          <w:snapToGrid w:val="0"/>
          <w:color w:val="000000"/>
          <w:kern w:val="0"/>
          <w:sz w:val="32"/>
          <w:szCs w:val="32"/>
          <w:highlight w:val="none"/>
          <w:lang w:bidi="ar"/>
        </w:rPr>
        <w:t>草种播种量测算方法</w:t>
      </w:r>
    </w:p>
    <w:p w14:paraId="2AFCE708">
      <w:pPr>
        <w:spacing w:line="600" w:lineRule="exact"/>
        <w:ind w:firstLine="640" w:firstLineChars="200"/>
        <w:rPr>
          <w:rFonts w:hint="eastAsia" w:ascii="宋体" w:hAnsi="宋体" w:eastAsia="方正仿宋_GBK" w:cs="方正仿宋_GBK"/>
          <w:color w:val="auto"/>
          <w:kern w:val="0"/>
          <w:sz w:val="32"/>
          <w:szCs w:val="32"/>
          <w:highlight w:val="none"/>
          <w:lang w:bidi="ar"/>
        </w:rPr>
        <w:sectPr>
          <w:footerReference r:id="rId3" w:type="default"/>
          <w:pgSz w:w="11906" w:h="16838"/>
          <w:pgMar w:top="1440" w:right="1800" w:bottom="1440" w:left="1800" w:header="851" w:footer="992" w:gutter="0"/>
          <w:cols w:space="720" w:num="1"/>
          <w:docGrid w:type="lines" w:linePitch="312" w:charSpace="0"/>
        </w:sectPr>
      </w:pPr>
      <w:r>
        <w:rPr>
          <w:rFonts w:hint="eastAsia" w:ascii="宋体" w:hAnsi="宋体" w:eastAsia="方正仿宋_GBK" w:cs="方正仿宋_GBK"/>
          <w:snapToGrid w:val="0"/>
          <w:color w:val="000000"/>
          <w:kern w:val="0"/>
          <w:sz w:val="32"/>
          <w:szCs w:val="32"/>
          <w:highlight w:val="none"/>
          <w:lang w:val="en-US" w:eastAsia="zh-CN" w:bidi="ar"/>
        </w:rPr>
        <w:t xml:space="preserve">      </w:t>
      </w:r>
      <w:r>
        <w:rPr>
          <w:rFonts w:hint="eastAsia" w:ascii="宋体" w:hAnsi="宋体" w:eastAsia="方正仿宋_GBK" w:cs="方正仿宋_GBK"/>
          <w:snapToGrid w:val="0"/>
          <w:color w:val="000000"/>
          <w:kern w:val="0"/>
          <w:sz w:val="32"/>
          <w:szCs w:val="32"/>
          <w:highlight w:val="none"/>
          <w:lang w:eastAsia="zh-CN" w:bidi="ar"/>
        </w:rPr>
        <w:t>3</w:t>
      </w:r>
      <w:r>
        <w:rPr>
          <w:rFonts w:hint="eastAsia" w:ascii="宋体" w:hAnsi="宋体" w:eastAsia="方正仿宋_GBK" w:cs="方正仿宋_GBK"/>
          <w:snapToGrid w:val="0"/>
          <w:color w:val="000000"/>
          <w:kern w:val="0"/>
          <w:sz w:val="32"/>
          <w:szCs w:val="32"/>
          <w:highlight w:val="none"/>
          <w:lang w:val="en-US" w:eastAsia="zh-CN" w:bidi="ar"/>
        </w:rPr>
        <w:t>.</w:t>
      </w:r>
      <w:r>
        <w:rPr>
          <w:rFonts w:hint="eastAsia" w:ascii="宋体" w:hAnsi="宋体" w:eastAsia="方正仿宋_GBK" w:cs="方正仿宋_GBK"/>
          <w:snapToGrid w:val="0"/>
          <w:color w:val="000000"/>
          <w:kern w:val="0"/>
          <w:sz w:val="32"/>
          <w:szCs w:val="32"/>
          <w:highlight w:val="none"/>
          <w:lang w:bidi="ar"/>
        </w:rPr>
        <w:t>光伏项目区草原生态恢复（修复）建议草种</w:t>
      </w:r>
    </w:p>
    <w:p w14:paraId="19EA6F44">
      <w:pPr>
        <w:spacing w:line="560" w:lineRule="exact"/>
        <w:ind w:firstLine="0" w:firstLineChars="0"/>
        <w:jc w:val="both"/>
        <w:rPr>
          <w:rFonts w:hint="eastAsia" w:ascii="宋体" w:hAnsi="宋体" w:eastAsia="宋体" w:cs="宋体"/>
          <w:color w:val="000000"/>
          <w:kern w:val="0"/>
          <w:sz w:val="32"/>
          <w:szCs w:val="32"/>
          <w:highlight w:val="none"/>
          <w:lang w:val="en-US" w:eastAsia="zh-CN" w:bidi="ar"/>
        </w:rPr>
      </w:pPr>
      <w:r>
        <w:rPr>
          <w:rFonts w:hint="eastAsia" w:ascii="宋体" w:hAnsi="宋体" w:eastAsia="方正黑体_GBK" w:cs="方正黑体_GBK"/>
          <w:color w:val="000000"/>
          <w:kern w:val="0"/>
          <w:sz w:val="32"/>
          <w:szCs w:val="32"/>
          <w:highlight w:val="none"/>
          <w:lang w:bidi="ar"/>
        </w:rPr>
        <w:t>附</w:t>
      </w:r>
      <w:r>
        <w:rPr>
          <w:rFonts w:hint="eastAsia" w:ascii="宋体" w:hAnsi="宋体" w:eastAsia="方正黑体_GBK" w:cs="方正黑体_GBK"/>
          <w:color w:val="000000"/>
          <w:kern w:val="0"/>
          <w:sz w:val="32"/>
          <w:szCs w:val="32"/>
          <w:highlight w:val="none"/>
          <w:lang w:eastAsia="zh-CN" w:bidi="ar"/>
        </w:rPr>
        <w:t>件</w:t>
      </w:r>
      <w:r>
        <w:rPr>
          <w:rFonts w:hint="eastAsia" w:ascii="宋体" w:hAnsi="宋体" w:eastAsia="宋体" w:cs="宋体"/>
          <w:color w:val="000000"/>
          <w:kern w:val="0"/>
          <w:sz w:val="32"/>
          <w:szCs w:val="32"/>
          <w:highlight w:val="none"/>
          <w:lang w:val="en-US" w:eastAsia="zh-CN" w:bidi="ar"/>
        </w:rPr>
        <w:t>1</w:t>
      </w:r>
    </w:p>
    <w:p w14:paraId="69330DD0">
      <w:pPr>
        <w:spacing w:line="560" w:lineRule="exact"/>
        <w:ind w:firstLine="0" w:firstLineChars="0"/>
        <w:jc w:val="center"/>
        <w:rPr>
          <w:rFonts w:hint="eastAsia" w:ascii="宋体" w:hAnsi="宋体" w:eastAsia="方正仿宋_GBK" w:cs="方正仿宋_GBK"/>
          <w:color w:val="000000"/>
          <w:kern w:val="0"/>
          <w:sz w:val="32"/>
          <w:szCs w:val="32"/>
          <w:highlight w:val="none"/>
          <w:lang w:bidi="ar"/>
        </w:rPr>
      </w:pPr>
      <w:r>
        <w:rPr>
          <w:rFonts w:hint="eastAsia" w:ascii="宋体" w:hAnsi="宋体" w:eastAsia="方正仿宋_GBK" w:cs="方正仿宋_GBK"/>
          <w:color w:val="000000"/>
          <w:kern w:val="0"/>
          <w:sz w:val="32"/>
          <w:szCs w:val="32"/>
          <w:highlight w:val="none"/>
          <w:lang w:bidi="ar"/>
        </w:rPr>
        <w:t>光伏项目监测调查表</w:t>
      </w:r>
    </w:p>
    <w:tbl>
      <w:tblPr>
        <w:tblStyle w:val="4"/>
        <w:tblW w:w="1362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0"/>
        <w:gridCol w:w="290"/>
        <w:gridCol w:w="290"/>
        <w:gridCol w:w="439"/>
        <w:gridCol w:w="290"/>
        <w:gridCol w:w="439"/>
        <w:gridCol w:w="290"/>
        <w:gridCol w:w="290"/>
        <w:gridCol w:w="290"/>
        <w:gridCol w:w="290"/>
        <w:gridCol w:w="290"/>
        <w:gridCol w:w="290"/>
        <w:gridCol w:w="290"/>
        <w:gridCol w:w="290"/>
        <w:gridCol w:w="364"/>
        <w:gridCol w:w="291"/>
        <w:gridCol w:w="291"/>
        <w:gridCol w:w="291"/>
        <w:gridCol w:w="291"/>
        <w:gridCol w:w="291"/>
        <w:gridCol w:w="291"/>
        <w:gridCol w:w="291"/>
        <w:gridCol w:w="291"/>
        <w:gridCol w:w="291"/>
        <w:gridCol w:w="291"/>
        <w:gridCol w:w="291"/>
        <w:gridCol w:w="291"/>
        <w:gridCol w:w="291"/>
        <w:gridCol w:w="291"/>
        <w:gridCol w:w="253"/>
        <w:gridCol w:w="253"/>
        <w:gridCol w:w="440"/>
        <w:gridCol w:w="365"/>
        <w:gridCol w:w="365"/>
        <w:gridCol w:w="291"/>
        <w:gridCol w:w="440"/>
        <w:gridCol w:w="291"/>
        <w:gridCol w:w="291"/>
        <w:gridCol w:w="291"/>
        <w:gridCol w:w="365"/>
        <w:gridCol w:w="291"/>
        <w:gridCol w:w="351"/>
        <w:gridCol w:w="285"/>
        <w:gridCol w:w="255"/>
      </w:tblGrid>
      <w:tr w14:paraId="1ECD3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13623" w:type="dxa"/>
            <w:gridSpan w:val="44"/>
            <w:tcBorders>
              <w:top w:val="single" w:color="000000" w:sz="4" w:space="0"/>
              <w:left w:val="single" w:color="000000" w:sz="4" w:space="0"/>
              <w:bottom w:val="single" w:color="000000" w:sz="4" w:space="0"/>
              <w:right w:val="single" w:color="000000" w:sz="4" w:space="0"/>
            </w:tcBorders>
            <w:noWrap w:val="0"/>
            <w:vAlign w:val="center"/>
          </w:tcPr>
          <w:p w14:paraId="3162958D">
            <w:pPr>
              <w:keepNext w:val="0"/>
              <w:keepLines w:val="0"/>
              <w:widowControl/>
              <w:suppressLineNumbers w:val="0"/>
              <w:jc w:val="left"/>
              <w:textAlignment w:val="center"/>
              <w:rPr>
                <w:rFonts w:hint="default" w:ascii="宋体" w:hAnsi="宋体" w:eastAsia="宋体" w:cs="宋体"/>
                <w:i w:val="0"/>
                <w:iCs w:val="0"/>
                <w:color w:val="000000"/>
                <w:kern w:val="0"/>
                <w:sz w:val="18"/>
                <w:szCs w:val="18"/>
                <w:highlight w:val="none"/>
                <w:u w:val="none"/>
                <w:lang w:val="en-US" w:eastAsia="zh-CN" w:bidi="ar"/>
              </w:rPr>
            </w:pPr>
            <w:r>
              <w:rPr>
                <w:rFonts w:hint="eastAsia" w:ascii="宋体" w:hAnsi="宋体" w:cs="宋体"/>
                <w:i w:val="0"/>
                <w:iCs w:val="0"/>
                <w:color w:val="000000"/>
                <w:kern w:val="0"/>
                <w:sz w:val="18"/>
                <w:szCs w:val="18"/>
                <w:highlight w:val="none"/>
                <w:u w:val="none"/>
                <w:lang w:val="en-US" w:eastAsia="zh-CN" w:bidi="ar"/>
              </w:rPr>
              <w:t xml:space="preserve">调查日期： </w:t>
            </w:r>
            <w:r>
              <w:rPr>
                <w:rFonts w:hint="default" w:ascii="宋体" w:hAnsi="宋体" w:cs="宋体"/>
                <w:i w:val="0"/>
                <w:iCs w:val="0"/>
                <w:color w:val="000000"/>
                <w:kern w:val="0"/>
                <w:sz w:val="18"/>
                <w:szCs w:val="18"/>
                <w:highlight w:val="none"/>
                <w:u w:val="none"/>
                <w:lang w:val="en" w:eastAsia="zh-CN" w:bidi="ar"/>
              </w:rPr>
              <w:t xml:space="preserve"> </w:t>
            </w:r>
            <w:r>
              <w:rPr>
                <w:rFonts w:hint="eastAsia" w:ascii="宋体" w:hAnsi="宋体" w:cs="宋体"/>
                <w:i w:val="0"/>
                <w:iCs w:val="0"/>
                <w:color w:val="000000"/>
                <w:kern w:val="0"/>
                <w:sz w:val="18"/>
                <w:szCs w:val="18"/>
                <w:highlight w:val="none"/>
                <w:u w:val="none"/>
                <w:lang w:val="en-US" w:eastAsia="zh-CN" w:bidi="ar"/>
              </w:rPr>
              <w:t>年  月  日</w:t>
            </w:r>
          </w:p>
        </w:tc>
      </w:tr>
      <w:tr w14:paraId="5D566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290" w:type="dxa"/>
            <w:vMerge w:val="restart"/>
            <w:tcBorders>
              <w:top w:val="single" w:color="000000" w:sz="4" w:space="0"/>
              <w:left w:val="single" w:color="000000" w:sz="4" w:space="0"/>
              <w:bottom w:val="single" w:color="000000" w:sz="4" w:space="0"/>
              <w:right w:val="single" w:color="000000" w:sz="4" w:space="0"/>
            </w:tcBorders>
            <w:noWrap w:val="0"/>
            <w:vAlign w:val="center"/>
          </w:tcPr>
          <w:p w14:paraId="1F642F6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县</w:t>
            </w:r>
          </w:p>
        </w:tc>
        <w:tc>
          <w:tcPr>
            <w:tcW w:w="290" w:type="dxa"/>
            <w:vMerge w:val="restart"/>
            <w:tcBorders>
              <w:top w:val="single" w:color="000000" w:sz="4" w:space="0"/>
              <w:left w:val="single" w:color="000000" w:sz="4" w:space="0"/>
              <w:bottom w:val="single" w:color="000000" w:sz="4" w:space="0"/>
              <w:right w:val="single" w:color="000000" w:sz="4" w:space="0"/>
            </w:tcBorders>
            <w:noWrap w:val="0"/>
            <w:vAlign w:val="center"/>
          </w:tcPr>
          <w:p w14:paraId="751E73F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乡</w:t>
            </w:r>
          </w:p>
        </w:tc>
        <w:tc>
          <w:tcPr>
            <w:tcW w:w="290" w:type="dxa"/>
            <w:vMerge w:val="restart"/>
            <w:tcBorders>
              <w:top w:val="single" w:color="000000" w:sz="4" w:space="0"/>
              <w:left w:val="single" w:color="000000" w:sz="4" w:space="0"/>
              <w:bottom w:val="single" w:color="000000" w:sz="4" w:space="0"/>
              <w:right w:val="single" w:color="000000" w:sz="4" w:space="0"/>
            </w:tcBorders>
            <w:noWrap w:val="0"/>
            <w:vAlign w:val="center"/>
          </w:tcPr>
          <w:p w14:paraId="3D2F926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村</w:t>
            </w:r>
          </w:p>
        </w:tc>
        <w:tc>
          <w:tcPr>
            <w:tcW w:w="439" w:type="dxa"/>
            <w:vMerge w:val="restart"/>
            <w:tcBorders>
              <w:top w:val="single" w:color="000000" w:sz="4" w:space="0"/>
              <w:left w:val="single" w:color="000000" w:sz="4" w:space="0"/>
              <w:bottom w:val="single" w:color="000000" w:sz="4" w:space="0"/>
              <w:right w:val="single" w:color="000000" w:sz="4" w:space="0"/>
            </w:tcBorders>
            <w:noWrap w:val="0"/>
            <w:vAlign w:val="center"/>
          </w:tcPr>
          <w:p w14:paraId="4237D0C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林（草）班号</w:t>
            </w:r>
          </w:p>
        </w:tc>
        <w:tc>
          <w:tcPr>
            <w:tcW w:w="290" w:type="dxa"/>
            <w:vMerge w:val="restart"/>
            <w:tcBorders>
              <w:top w:val="single" w:color="000000" w:sz="4" w:space="0"/>
              <w:left w:val="single" w:color="000000" w:sz="4" w:space="0"/>
              <w:bottom w:val="single" w:color="000000" w:sz="4" w:space="0"/>
              <w:right w:val="single" w:color="000000" w:sz="4" w:space="0"/>
            </w:tcBorders>
            <w:noWrap w:val="0"/>
            <w:vAlign w:val="center"/>
          </w:tcPr>
          <w:p w14:paraId="5E77156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小班号</w:t>
            </w:r>
          </w:p>
        </w:tc>
        <w:tc>
          <w:tcPr>
            <w:tcW w:w="439" w:type="dxa"/>
            <w:vMerge w:val="restart"/>
            <w:tcBorders>
              <w:top w:val="single" w:color="000000" w:sz="4" w:space="0"/>
              <w:left w:val="single" w:color="000000" w:sz="4" w:space="0"/>
              <w:bottom w:val="single" w:color="000000" w:sz="4" w:space="0"/>
              <w:right w:val="single" w:color="000000" w:sz="4" w:space="0"/>
            </w:tcBorders>
            <w:noWrap w:val="0"/>
            <w:vAlign w:val="center"/>
          </w:tcPr>
          <w:p w14:paraId="31FBACD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小班面积（亩）</w:t>
            </w:r>
          </w:p>
        </w:tc>
        <w:tc>
          <w:tcPr>
            <w:tcW w:w="290" w:type="dxa"/>
            <w:vMerge w:val="restart"/>
            <w:tcBorders>
              <w:top w:val="single" w:color="000000" w:sz="4" w:space="0"/>
              <w:left w:val="single" w:color="000000" w:sz="4" w:space="0"/>
              <w:bottom w:val="single" w:color="000000" w:sz="4" w:space="0"/>
              <w:right w:val="single" w:color="000000" w:sz="4" w:space="0"/>
            </w:tcBorders>
            <w:noWrap w:val="0"/>
            <w:vAlign w:val="center"/>
          </w:tcPr>
          <w:p w14:paraId="3A6C282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现状地类</w:t>
            </w:r>
          </w:p>
        </w:tc>
        <w:tc>
          <w:tcPr>
            <w:tcW w:w="290" w:type="dxa"/>
            <w:vMerge w:val="restart"/>
            <w:tcBorders>
              <w:top w:val="single" w:color="000000" w:sz="4" w:space="0"/>
              <w:left w:val="single" w:color="000000" w:sz="4" w:space="0"/>
              <w:bottom w:val="single" w:color="000000" w:sz="4" w:space="0"/>
              <w:right w:val="single" w:color="000000" w:sz="4" w:space="0"/>
            </w:tcBorders>
            <w:noWrap w:val="0"/>
            <w:vAlign w:val="center"/>
          </w:tcPr>
          <w:p w14:paraId="7BA99DB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建设内容</w:t>
            </w:r>
          </w:p>
        </w:tc>
        <w:tc>
          <w:tcPr>
            <w:tcW w:w="580" w:type="dxa"/>
            <w:gridSpan w:val="2"/>
            <w:tcBorders>
              <w:top w:val="single" w:color="000000" w:sz="4" w:space="0"/>
              <w:left w:val="single" w:color="000000" w:sz="4" w:space="0"/>
              <w:bottom w:val="single" w:color="000000" w:sz="4" w:space="0"/>
              <w:right w:val="single" w:color="000000" w:sz="4" w:space="0"/>
            </w:tcBorders>
            <w:noWrap w:val="0"/>
            <w:vAlign w:val="center"/>
          </w:tcPr>
          <w:p w14:paraId="121FB9D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乔木</w:t>
            </w:r>
          </w:p>
        </w:tc>
        <w:tc>
          <w:tcPr>
            <w:tcW w:w="580" w:type="dxa"/>
            <w:gridSpan w:val="2"/>
            <w:tcBorders>
              <w:top w:val="single" w:color="000000" w:sz="4" w:space="0"/>
              <w:left w:val="single" w:color="000000" w:sz="4" w:space="0"/>
              <w:bottom w:val="single" w:color="000000" w:sz="4" w:space="0"/>
              <w:right w:val="single" w:color="000000" w:sz="4" w:space="0"/>
            </w:tcBorders>
            <w:noWrap w:val="0"/>
            <w:vAlign w:val="center"/>
          </w:tcPr>
          <w:p w14:paraId="5556740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灌木</w:t>
            </w:r>
          </w:p>
        </w:tc>
        <w:tc>
          <w:tcPr>
            <w:tcW w:w="944" w:type="dxa"/>
            <w:gridSpan w:val="3"/>
            <w:tcBorders>
              <w:top w:val="single" w:color="000000" w:sz="4" w:space="0"/>
              <w:left w:val="single" w:color="000000" w:sz="4" w:space="0"/>
              <w:bottom w:val="single" w:color="000000" w:sz="4" w:space="0"/>
              <w:right w:val="single" w:color="000000" w:sz="4" w:space="0"/>
            </w:tcBorders>
            <w:noWrap w:val="0"/>
            <w:vAlign w:val="center"/>
          </w:tcPr>
          <w:p w14:paraId="277530A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草本</w:t>
            </w:r>
          </w:p>
        </w:tc>
        <w:tc>
          <w:tcPr>
            <w:tcW w:w="291" w:type="dxa"/>
            <w:vMerge w:val="restart"/>
            <w:tcBorders>
              <w:top w:val="single" w:color="000000" w:sz="4" w:space="0"/>
              <w:left w:val="single" w:color="000000" w:sz="4" w:space="0"/>
              <w:bottom w:val="single" w:color="000000" w:sz="4" w:space="0"/>
              <w:right w:val="single" w:color="000000" w:sz="4" w:space="0"/>
            </w:tcBorders>
            <w:noWrap w:val="0"/>
            <w:vAlign w:val="center"/>
          </w:tcPr>
          <w:p w14:paraId="19231D6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植被类型</w:t>
            </w:r>
          </w:p>
        </w:tc>
        <w:tc>
          <w:tcPr>
            <w:tcW w:w="1455" w:type="dxa"/>
            <w:gridSpan w:val="5"/>
            <w:tcBorders>
              <w:top w:val="single" w:color="000000" w:sz="4" w:space="0"/>
              <w:left w:val="single" w:color="000000" w:sz="4" w:space="0"/>
              <w:bottom w:val="single" w:color="000000" w:sz="4" w:space="0"/>
              <w:right w:val="single" w:color="000000" w:sz="4" w:space="0"/>
            </w:tcBorders>
            <w:noWrap w:val="0"/>
            <w:vAlign w:val="center"/>
          </w:tcPr>
          <w:p w14:paraId="75AEC1D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土壤</w:t>
            </w:r>
          </w:p>
        </w:tc>
        <w:tc>
          <w:tcPr>
            <w:tcW w:w="291" w:type="dxa"/>
            <w:vMerge w:val="restart"/>
            <w:tcBorders>
              <w:top w:val="single" w:color="000000" w:sz="4" w:space="0"/>
              <w:left w:val="single" w:color="000000" w:sz="4" w:space="0"/>
              <w:bottom w:val="single" w:color="000000" w:sz="4" w:space="0"/>
              <w:right w:val="single" w:color="000000" w:sz="4" w:space="0"/>
            </w:tcBorders>
            <w:noWrap w:val="0"/>
            <w:vAlign w:val="center"/>
          </w:tcPr>
          <w:p w14:paraId="08E1A2D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地貌</w:t>
            </w:r>
          </w:p>
        </w:tc>
        <w:tc>
          <w:tcPr>
            <w:tcW w:w="291" w:type="dxa"/>
            <w:vMerge w:val="restart"/>
            <w:tcBorders>
              <w:top w:val="single" w:color="000000" w:sz="4" w:space="0"/>
              <w:left w:val="single" w:color="000000" w:sz="4" w:space="0"/>
              <w:bottom w:val="single" w:color="000000" w:sz="4" w:space="0"/>
              <w:right w:val="single" w:color="000000" w:sz="4" w:space="0"/>
            </w:tcBorders>
            <w:noWrap w:val="0"/>
            <w:vAlign w:val="center"/>
          </w:tcPr>
          <w:p w14:paraId="1C96883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坡向</w:t>
            </w:r>
          </w:p>
        </w:tc>
        <w:tc>
          <w:tcPr>
            <w:tcW w:w="291" w:type="dxa"/>
            <w:vMerge w:val="restart"/>
            <w:tcBorders>
              <w:top w:val="single" w:color="000000" w:sz="4" w:space="0"/>
              <w:left w:val="single" w:color="000000" w:sz="4" w:space="0"/>
              <w:bottom w:val="single" w:color="000000" w:sz="4" w:space="0"/>
              <w:right w:val="single" w:color="000000" w:sz="4" w:space="0"/>
            </w:tcBorders>
            <w:noWrap w:val="0"/>
            <w:vAlign w:val="center"/>
          </w:tcPr>
          <w:p w14:paraId="6BD89CC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坡位</w:t>
            </w:r>
          </w:p>
        </w:tc>
        <w:tc>
          <w:tcPr>
            <w:tcW w:w="291" w:type="dxa"/>
            <w:vMerge w:val="restart"/>
            <w:tcBorders>
              <w:top w:val="single" w:color="000000" w:sz="4" w:space="0"/>
              <w:left w:val="single" w:color="000000" w:sz="4" w:space="0"/>
              <w:bottom w:val="single" w:color="000000" w:sz="4" w:space="0"/>
              <w:right w:val="single" w:color="000000" w:sz="4" w:space="0"/>
            </w:tcBorders>
            <w:noWrap w:val="0"/>
            <w:vAlign w:val="center"/>
          </w:tcPr>
          <w:p w14:paraId="76139ED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坡度</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4172E9E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裸露率（%）</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2DF30A0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海拔（米）</w:t>
            </w:r>
          </w:p>
        </w:tc>
        <w:tc>
          <w:tcPr>
            <w:tcW w:w="506" w:type="dxa"/>
            <w:gridSpan w:val="2"/>
            <w:tcBorders>
              <w:top w:val="single" w:color="000000" w:sz="4" w:space="0"/>
              <w:left w:val="single" w:color="000000" w:sz="4" w:space="0"/>
              <w:bottom w:val="single" w:color="000000" w:sz="4" w:space="0"/>
              <w:right w:val="single" w:color="000000" w:sz="4" w:space="0"/>
            </w:tcBorders>
            <w:noWrap w:val="0"/>
            <w:vAlign w:val="center"/>
          </w:tcPr>
          <w:p w14:paraId="020B344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中心点</w:t>
            </w:r>
          </w:p>
        </w:tc>
        <w:tc>
          <w:tcPr>
            <w:tcW w:w="1901" w:type="dxa"/>
            <w:gridSpan w:val="5"/>
            <w:tcBorders>
              <w:top w:val="single" w:color="000000" w:sz="4" w:space="0"/>
              <w:left w:val="single" w:color="000000" w:sz="4" w:space="0"/>
              <w:bottom w:val="single" w:color="000000" w:sz="4" w:space="0"/>
              <w:right w:val="single" w:color="000000" w:sz="4" w:space="0"/>
            </w:tcBorders>
            <w:noWrap w:val="0"/>
            <w:vAlign w:val="center"/>
          </w:tcPr>
          <w:p w14:paraId="622579B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气象</w:t>
            </w:r>
          </w:p>
        </w:tc>
        <w:tc>
          <w:tcPr>
            <w:tcW w:w="2420" w:type="dxa"/>
            <w:gridSpan w:val="8"/>
            <w:tcBorders>
              <w:top w:val="single" w:color="000000" w:sz="4" w:space="0"/>
              <w:left w:val="single" w:color="000000" w:sz="4" w:space="0"/>
              <w:bottom w:val="single" w:color="000000" w:sz="4" w:space="0"/>
              <w:right w:val="single" w:color="000000" w:sz="4" w:space="0"/>
            </w:tcBorders>
            <w:noWrap w:val="0"/>
            <w:vAlign w:val="center"/>
          </w:tcPr>
          <w:p w14:paraId="034D769E">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草地植被保护方案</w:t>
            </w:r>
          </w:p>
          <w:p w14:paraId="5DE5FE5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落实情况</w:t>
            </w:r>
          </w:p>
        </w:tc>
      </w:tr>
      <w:tr w14:paraId="531DF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2" w:hRule="atLeast"/>
        </w:trPr>
        <w:tc>
          <w:tcPr>
            <w:tcW w:w="2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1E3F56">
            <w:pPr>
              <w:jc w:val="center"/>
              <w:rPr>
                <w:rFonts w:hint="eastAsia" w:ascii="宋体" w:hAnsi="宋体" w:eastAsia="宋体" w:cs="宋体"/>
                <w:i w:val="0"/>
                <w:iCs w:val="0"/>
                <w:color w:val="000000"/>
                <w:sz w:val="18"/>
                <w:szCs w:val="18"/>
                <w:highlight w:val="none"/>
                <w:u w:val="none"/>
              </w:rPr>
            </w:pPr>
          </w:p>
        </w:tc>
        <w:tc>
          <w:tcPr>
            <w:tcW w:w="2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FA3568">
            <w:pPr>
              <w:jc w:val="center"/>
              <w:rPr>
                <w:rFonts w:hint="eastAsia" w:ascii="宋体" w:hAnsi="宋体" w:eastAsia="宋体" w:cs="宋体"/>
                <w:i w:val="0"/>
                <w:iCs w:val="0"/>
                <w:color w:val="000000"/>
                <w:sz w:val="18"/>
                <w:szCs w:val="18"/>
                <w:highlight w:val="none"/>
                <w:u w:val="none"/>
              </w:rPr>
            </w:pPr>
          </w:p>
        </w:tc>
        <w:tc>
          <w:tcPr>
            <w:tcW w:w="2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06D75F">
            <w:pPr>
              <w:jc w:val="center"/>
              <w:rPr>
                <w:rFonts w:hint="eastAsia" w:ascii="宋体" w:hAnsi="宋体" w:eastAsia="宋体" w:cs="宋体"/>
                <w:i w:val="0"/>
                <w:iCs w:val="0"/>
                <w:color w:val="000000"/>
                <w:sz w:val="18"/>
                <w:szCs w:val="18"/>
                <w:highlight w:val="none"/>
                <w:u w:val="none"/>
              </w:rPr>
            </w:pPr>
          </w:p>
        </w:tc>
        <w:tc>
          <w:tcPr>
            <w:tcW w:w="4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A97B6C">
            <w:pPr>
              <w:jc w:val="center"/>
              <w:rPr>
                <w:rFonts w:hint="eastAsia" w:ascii="宋体" w:hAnsi="宋体" w:eastAsia="宋体" w:cs="宋体"/>
                <w:i w:val="0"/>
                <w:iCs w:val="0"/>
                <w:color w:val="000000"/>
                <w:sz w:val="18"/>
                <w:szCs w:val="18"/>
                <w:highlight w:val="none"/>
                <w:u w:val="none"/>
              </w:rPr>
            </w:pPr>
          </w:p>
        </w:tc>
        <w:tc>
          <w:tcPr>
            <w:tcW w:w="2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E73551">
            <w:pPr>
              <w:jc w:val="center"/>
              <w:rPr>
                <w:rFonts w:hint="eastAsia" w:ascii="宋体" w:hAnsi="宋体" w:eastAsia="宋体" w:cs="宋体"/>
                <w:i w:val="0"/>
                <w:iCs w:val="0"/>
                <w:color w:val="000000"/>
                <w:sz w:val="18"/>
                <w:szCs w:val="18"/>
                <w:highlight w:val="none"/>
                <w:u w:val="none"/>
              </w:rPr>
            </w:pPr>
          </w:p>
        </w:tc>
        <w:tc>
          <w:tcPr>
            <w:tcW w:w="4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CBA92A">
            <w:pPr>
              <w:jc w:val="center"/>
              <w:rPr>
                <w:rFonts w:hint="eastAsia" w:ascii="宋体" w:hAnsi="宋体" w:eastAsia="宋体" w:cs="宋体"/>
                <w:i w:val="0"/>
                <w:iCs w:val="0"/>
                <w:color w:val="000000"/>
                <w:sz w:val="18"/>
                <w:szCs w:val="18"/>
                <w:highlight w:val="none"/>
                <w:u w:val="none"/>
              </w:rPr>
            </w:pPr>
          </w:p>
        </w:tc>
        <w:tc>
          <w:tcPr>
            <w:tcW w:w="2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2CB25B">
            <w:pPr>
              <w:jc w:val="center"/>
              <w:rPr>
                <w:rFonts w:hint="eastAsia" w:ascii="宋体" w:hAnsi="宋体" w:eastAsia="宋体" w:cs="宋体"/>
                <w:i w:val="0"/>
                <w:iCs w:val="0"/>
                <w:color w:val="000000"/>
                <w:sz w:val="18"/>
                <w:szCs w:val="18"/>
                <w:highlight w:val="none"/>
                <w:u w:val="none"/>
              </w:rPr>
            </w:pPr>
          </w:p>
        </w:tc>
        <w:tc>
          <w:tcPr>
            <w:tcW w:w="2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0B1D4F">
            <w:pPr>
              <w:jc w:val="center"/>
              <w:rPr>
                <w:rFonts w:hint="eastAsia" w:ascii="宋体" w:hAnsi="宋体" w:eastAsia="宋体" w:cs="宋体"/>
                <w:i w:val="0"/>
                <w:iCs w:val="0"/>
                <w:color w:val="000000"/>
                <w:sz w:val="18"/>
                <w:szCs w:val="18"/>
                <w:highlight w:val="none"/>
                <w:u w:val="none"/>
              </w:rPr>
            </w:pPr>
          </w:p>
        </w:tc>
        <w:tc>
          <w:tcPr>
            <w:tcW w:w="290" w:type="dxa"/>
            <w:vMerge w:val="restart"/>
            <w:tcBorders>
              <w:top w:val="single" w:color="000000" w:sz="4" w:space="0"/>
              <w:left w:val="single" w:color="000000" w:sz="4" w:space="0"/>
              <w:right w:val="single" w:color="000000" w:sz="4" w:space="0"/>
            </w:tcBorders>
            <w:noWrap w:val="0"/>
            <w:vAlign w:val="center"/>
          </w:tcPr>
          <w:p w14:paraId="3BDF998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主要种类</w:t>
            </w:r>
          </w:p>
        </w:tc>
        <w:tc>
          <w:tcPr>
            <w:tcW w:w="290" w:type="dxa"/>
            <w:vMerge w:val="restart"/>
            <w:tcBorders>
              <w:top w:val="single" w:color="000000" w:sz="4" w:space="0"/>
              <w:left w:val="single" w:color="000000" w:sz="4" w:space="0"/>
              <w:right w:val="single" w:color="000000" w:sz="4" w:space="0"/>
            </w:tcBorders>
            <w:noWrap w:val="0"/>
            <w:vAlign w:val="center"/>
          </w:tcPr>
          <w:p w14:paraId="53312F0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郁闭度</w:t>
            </w:r>
          </w:p>
        </w:tc>
        <w:tc>
          <w:tcPr>
            <w:tcW w:w="290" w:type="dxa"/>
            <w:vMerge w:val="restart"/>
            <w:tcBorders>
              <w:top w:val="single" w:color="000000" w:sz="4" w:space="0"/>
              <w:left w:val="single" w:color="000000" w:sz="4" w:space="0"/>
              <w:right w:val="single" w:color="000000" w:sz="4" w:space="0"/>
            </w:tcBorders>
            <w:noWrap w:val="0"/>
            <w:vAlign w:val="center"/>
          </w:tcPr>
          <w:p w14:paraId="278380D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主要种类</w:t>
            </w:r>
          </w:p>
        </w:tc>
        <w:tc>
          <w:tcPr>
            <w:tcW w:w="290" w:type="dxa"/>
            <w:vMerge w:val="restart"/>
            <w:tcBorders>
              <w:top w:val="single" w:color="000000" w:sz="4" w:space="0"/>
              <w:left w:val="single" w:color="000000" w:sz="4" w:space="0"/>
              <w:right w:val="single" w:color="000000" w:sz="4" w:space="0"/>
            </w:tcBorders>
            <w:noWrap w:val="0"/>
            <w:vAlign w:val="center"/>
          </w:tcPr>
          <w:p w14:paraId="7AC6D21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盖度</w:t>
            </w:r>
          </w:p>
        </w:tc>
        <w:tc>
          <w:tcPr>
            <w:tcW w:w="290" w:type="dxa"/>
            <w:vMerge w:val="restart"/>
            <w:tcBorders>
              <w:top w:val="single" w:color="000000" w:sz="4" w:space="0"/>
              <w:left w:val="single" w:color="000000" w:sz="4" w:space="0"/>
              <w:right w:val="single" w:color="000000" w:sz="4" w:space="0"/>
            </w:tcBorders>
            <w:noWrap w:val="0"/>
            <w:vAlign w:val="center"/>
          </w:tcPr>
          <w:p w14:paraId="14C19B5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主要种类</w:t>
            </w:r>
          </w:p>
        </w:tc>
        <w:tc>
          <w:tcPr>
            <w:tcW w:w="290" w:type="dxa"/>
            <w:vMerge w:val="restart"/>
            <w:tcBorders>
              <w:top w:val="single" w:color="000000" w:sz="4" w:space="0"/>
              <w:left w:val="single" w:color="000000" w:sz="4" w:space="0"/>
              <w:right w:val="single" w:color="000000" w:sz="4" w:space="0"/>
            </w:tcBorders>
            <w:noWrap w:val="0"/>
            <w:vAlign w:val="center"/>
          </w:tcPr>
          <w:p w14:paraId="6812FCC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盖度</w:t>
            </w:r>
          </w:p>
        </w:tc>
        <w:tc>
          <w:tcPr>
            <w:tcW w:w="364" w:type="dxa"/>
            <w:vMerge w:val="restart"/>
            <w:tcBorders>
              <w:top w:val="single" w:color="000000" w:sz="4" w:space="0"/>
              <w:left w:val="single" w:color="000000" w:sz="4" w:space="0"/>
              <w:right w:val="single" w:color="000000" w:sz="4" w:space="0"/>
            </w:tcBorders>
            <w:noWrap w:val="0"/>
            <w:vAlign w:val="center"/>
          </w:tcPr>
          <w:p w14:paraId="10F61A6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产草量（千克）</w:t>
            </w:r>
          </w:p>
        </w:tc>
        <w:tc>
          <w:tcPr>
            <w:tcW w:w="291"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17E109">
            <w:pPr>
              <w:jc w:val="center"/>
              <w:rPr>
                <w:rFonts w:hint="eastAsia" w:ascii="宋体" w:hAnsi="宋体" w:eastAsia="宋体" w:cs="宋体"/>
                <w:i w:val="0"/>
                <w:iCs w:val="0"/>
                <w:color w:val="000000"/>
                <w:sz w:val="18"/>
                <w:szCs w:val="18"/>
                <w:highlight w:val="none"/>
                <w:u w:val="none"/>
              </w:rPr>
            </w:pPr>
          </w:p>
        </w:tc>
        <w:tc>
          <w:tcPr>
            <w:tcW w:w="291" w:type="dxa"/>
            <w:vMerge w:val="restart"/>
            <w:tcBorders>
              <w:top w:val="single" w:color="000000" w:sz="4" w:space="0"/>
              <w:left w:val="single" w:color="000000" w:sz="4" w:space="0"/>
              <w:right w:val="single" w:color="000000" w:sz="4" w:space="0"/>
            </w:tcBorders>
            <w:noWrap w:val="0"/>
            <w:vAlign w:val="center"/>
          </w:tcPr>
          <w:p w14:paraId="6F2D376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名称</w:t>
            </w:r>
          </w:p>
        </w:tc>
        <w:tc>
          <w:tcPr>
            <w:tcW w:w="291" w:type="dxa"/>
            <w:vMerge w:val="restart"/>
            <w:tcBorders>
              <w:top w:val="single" w:color="000000" w:sz="4" w:space="0"/>
              <w:left w:val="single" w:color="000000" w:sz="4" w:space="0"/>
              <w:right w:val="single" w:color="000000" w:sz="4" w:space="0"/>
            </w:tcBorders>
            <w:noWrap w:val="0"/>
            <w:vAlign w:val="center"/>
          </w:tcPr>
          <w:p w14:paraId="2D3D722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质地</w:t>
            </w:r>
          </w:p>
        </w:tc>
        <w:tc>
          <w:tcPr>
            <w:tcW w:w="291" w:type="dxa"/>
            <w:vMerge w:val="restart"/>
            <w:tcBorders>
              <w:top w:val="single" w:color="000000" w:sz="4" w:space="0"/>
              <w:left w:val="single" w:color="000000" w:sz="4" w:space="0"/>
              <w:right w:val="single" w:color="000000" w:sz="4" w:space="0"/>
            </w:tcBorders>
            <w:noWrap w:val="0"/>
            <w:vAlign w:val="center"/>
          </w:tcPr>
          <w:p w14:paraId="1AE7843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厚度</w:t>
            </w:r>
          </w:p>
        </w:tc>
        <w:tc>
          <w:tcPr>
            <w:tcW w:w="291" w:type="dxa"/>
            <w:vMerge w:val="restart"/>
            <w:tcBorders>
              <w:top w:val="single" w:color="000000" w:sz="4" w:space="0"/>
              <w:left w:val="single" w:color="000000" w:sz="4" w:space="0"/>
              <w:right w:val="single" w:color="000000" w:sz="4" w:space="0"/>
            </w:tcBorders>
            <w:noWrap w:val="0"/>
            <w:vAlign w:val="center"/>
          </w:tcPr>
          <w:p w14:paraId="1871B2F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湿度</w:t>
            </w:r>
          </w:p>
        </w:tc>
        <w:tc>
          <w:tcPr>
            <w:tcW w:w="291" w:type="dxa"/>
            <w:vMerge w:val="restart"/>
            <w:tcBorders>
              <w:top w:val="single" w:color="000000" w:sz="4" w:space="0"/>
              <w:left w:val="single" w:color="000000" w:sz="4" w:space="0"/>
              <w:right w:val="single" w:color="000000" w:sz="4" w:space="0"/>
            </w:tcBorders>
            <w:noWrap w:val="0"/>
            <w:vAlign w:val="center"/>
          </w:tcPr>
          <w:p w14:paraId="588712B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含石量</w:t>
            </w:r>
          </w:p>
        </w:tc>
        <w:tc>
          <w:tcPr>
            <w:tcW w:w="29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7E157B">
            <w:pPr>
              <w:jc w:val="center"/>
              <w:rPr>
                <w:rFonts w:hint="eastAsia" w:ascii="宋体" w:hAnsi="宋体" w:eastAsia="宋体" w:cs="宋体"/>
                <w:i w:val="0"/>
                <w:iCs w:val="0"/>
                <w:color w:val="000000"/>
                <w:sz w:val="18"/>
                <w:szCs w:val="18"/>
                <w:highlight w:val="none"/>
                <w:u w:val="none"/>
              </w:rPr>
            </w:pPr>
          </w:p>
        </w:tc>
        <w:tc>
          <w:tcPr>
            <w:tcW w:w="29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F240BF">
            <w:pPr>
              <w:jc w:val="center"/>
              <w:rPr>
                <w:rFonts w:hint="eastAsia" w:ascii="宋体" w:hAnsi="宋体" w:eastAsia="宋体" w:cs="宋体"/>
                <w:i w:val="0"/>
                <w:iCs w:val="0"/>
                <w:color w:val="000000"/>
                <w:sz w:val="18"/>
                <w:szCs w:val="18"/>
                <w:highlight w:val="none"/>
                <w:u w:val="none"/>
              </w:rPr>
            </w:pPr>
          </w:p>
        </w:tc>
        <w:tc>
          <w:tcPr>
            <w:tcW w:w="29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5AB8E0">
            <w:pPr>
              <w:jc w:val="center"/>
              <w:rPr>
                <w:rFonts w:hint="eastAsia" w:ascii="宋体" w:hAnsi="宋体" w:eastAsia="宋体" w:cs="宋体"/>
                <w:i w:val="0"/>
                <w:iCs w:val="0"/>
                <w:color w:val="000000"/>
                <w:sz w:val="18"/>
                <w:szCs w:val="18"/>
                <w:highlight w:val="none"/>
                <w:u w:val="none"/>
              </w:rPr>
            </w:pPr>
          </w:p>
        </w:tc>
        <w:tc>
          <w:tcPr>
            <w:tcW w:w="291"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F071EB">
            <w:pPr>
              <w:jc w:val="center"/>
              <w:rPr>
                <w:rFonts w:hint="eastAsia" w:ascii="宋体" w:hAnsi="宋体" w:eastAsia="宋体" w:cs="宋体"/>
                <w:i w:val="0"/>
                <w:iCs w:val="0"/>
                <w:color w:val="000000"/>
                <w:sz w:val="18"/>
                <w:szCs w:val="18"/>
                <w:highlight w:val="none"/>
                <w:u w:val="none"/>
              </w:rPr>
            </w:pPr>
          </w:p>
        </w:tc>
        <w:tc>
          <w:tcPr>
            <w:tcW w:w="291" w:type="dxa"/>
            <w:vMerge w:val="restart"/>
            <w:tcBorders>
              <w:top w:val="single" w:color="000000" w:sz="4" w:space="0"/>
              <w:left w:val="single" w:color="000000" w:sz="4" w:space="0"/>
              <w:right w:val="single" w:color="000000" w:sz="4" w:space="0"/>
            </w:tcBorders>
            <w:noWrap w:val="0"/>
            <w:vAlign w:val="center"/>
          </w:tcPr>
          <w:p w14:paraId="0F2850D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岩石裸露率</w:t>
            </w:r>
          </w:p>
        </w:tc>
        <w:tc>
          <w:tcPr>
            <w:tcW w:w="291" w:type="dxa"/>
            <w:vMerge w:val="restart"/>
            <w:tcBorders>
              <w:top w:val="single" w:color="000000" w:sz="4" w:space="0"/>
              <w:left w:val="single" w:color="000000" w:sz="4" w:space="0"/>
              <w:right w:val="single" w:color="000000" w:sz="4" w:space="0"/>
            </w:tcBorders>
            <w:noWrap w:val="0"/>
            <w:vAlign w:val="center"/>
          </w:tcPr>
          <w:p w14:paraId="1DA7837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土壤裸露率</w:t>
            </w:r>
          </w:p>
        </w:tc>
        <w:tc>
          <w:tcPr>
            <w:tcW w:w="291" w:type="dxa"/>
            <w:vMerge w:val="restart"/>
            <w:tcBorders>
              <w:top w:val="single" w:color="000000" w:sz="4" w:space="0"/>
              <w:left w:val="single" w:color="000000" w:sz="4" w:space="0"/>
              <w:right w:val="single" w:color="000000" w:sz="4" w:space="0"/>
            </w:tcBorders>
            <w:noWrap w:val="0"/>
            <w:vAlign w:val="center"/>
          </w:tcPr>
          <w:p w14:paraId="7318823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最低</w:t>
            </w:r>
          </w:p>
        </w:tc>
        <w:tc>
          <w:tcPr>
            <w:tcW w:w="291" w:type="dxa"/>
            <w:vMerge w:val="restart"/>
            <w:tcBorders>
              <w:top w:val="single" w:color="000000" w:sz="4" w:space="0"/>
              <w:left w:val="single" w:color="000000" w:sz="4" w:space="0"/>
              <w:right w:val="single" w:color="000000" w:sz="4" w:space="0"/>
            </w:tcBorders>
            <w:noWrap w:val="0"/>
            <w:vAlign w:val="center"/>
          </w:tcPr>
          <w:p w14:paraId="2F2A571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最高</w:t>
            </w:r>
          </w:p>
        </w:tc>
        <w:tc>
          <w:tcPr>
            <w:tcW w:w="253" w:type="dxa"/>
            <w:vMerge w:val="restart"/>
            <w:tcBorders>
              <w:top w:val="single" w:color="000000" w:sz="4" w:space="0"/>
              <w:left w:val="single" w:color="000000" w:sz="4" w:space="0"/>
              <w:right w:val="single" w:color="000000" w:sz="4" w:space="0"/>
            </w:tcBorders>
            <w:noWrap w:val="0"/>
            <w:vAlign w:val="center"/>
          </w:tcPr>
          <w:p w14:paraId="5C61EB4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X</w:t>
            </w:r>
          </w:p>
        </w:tc>
        <w:tc>
          <w:tcPr>
            <w:tcW w:w="253" w:type="dxa"/>
            <w:vMerge w:val="restart"/>
            <w:tcBorders>
              <w:top w:val="single" w:color="000000" w:sz="4" w:space="0"/>
              <w:left w:val="single" w:color="000000" w:sz="4" w:space="0"/>
              <w:right w:val="single" w:color="000000" w:sz="4" w:space="0"/>
            </w:tcBorders>
            <w:noWrap/>
            <w:vAlign w:val="center"/>
          </w:tcPr>
          <w:p w14:paraId="1A4ED05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Y</w:t>
            </w:r>
          </w:p>
        </w:tc>
        <w:tc>
          <w:tcPr>
            <w:tcW w:w="440" w:type="dxa"/>
            <w:vMerge w:val="restart"/>
            <w:tcBorders>
              <w:top w:val="single" w:color="000000" w:sz="4" w:space="0"/>
              <w:left w:val="single" w:color="000000" w:sz="4" w:space="0"/>
              <w:right w:val="single" w:color="000000" w:sz="4" w:space="0"/>
            </w:tcBorders>
            <w:noWrap w:val="0"/>
            <w:vAlign w:val="center"/>
          </w:tcPr>
          <w:p w14:paraId="3317816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年均气温（</w:t>
            </w:r>
            <w:r>
              <w:rPr>
                <w:rFonts w:hint="default" w:ascii="宋体" w:hAnsi="宋体" w:cs="宋体"/>
                <w:i w:val="0"/>
                <w:iCs w:val="0"/>
                <w:color w:val="000000"/>
                <w:kern w:val="0"/>
                <w:sz w:val="18"/>
                <w:szCs w:val="18"/>
                <w:highlight w:val="none"/>
                <w:u w:val="none"/>
                <w:lang w:val="en" w:eastAsia="zh-CN" w:bidi="ar"/>
              </w:rPr>
              <w:t>摄氏度</w:t>
            </w:r>
            <w:r>
              <w:rPr>
                <w:rFonts w:hint="eastAsia" w:ascii="宋体" w:hAnsi="宋体" w:eastAsia="宋体" w:cs="宋体"/>
                <w:i w:val="0"/>
                <w:iCs w:val="0"/>
                <w:color w:val="000000"/>
                <w:kern w:val="0"/>
                <w:sz w:val="18"/>
                <w:szCs w:val="18"/>
                <w:highlight w:val="none"/>
                <w:u w:val="none"/>
                <w:lang w:val="en-US" w:eastAsia="zh-CN" w:bidi="ar"/>
              </w:rPr>
              <w:t>）</w:t>
            </w:r>
          </w:p>
        </w:tc>
        <w:tc>
          <w:tcPr>
            <w:tcW w:w="365" w:type="dxa"/>
            <w:vMerge w:val="restart"/>
            <w:tcBorders>
              <w:top w:val="single" w:color="000000" w:sz="4" w:space="0"/>
              <w:left w:val="single" w:color="000000" w:sz="4" w:space="0"/>
              <w:right w:val="single" w:color="000000" w:sz="4" w:space="0"/>
            </w:tcBorders>
            <w:noWrap w:val="0"/>
            <w:vAlign w:val="center"/>
          </w:tcPr>
          <w:p w14:paraId="2B26690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年均降水量（毫</w:t>
            </w:r>
            <w:r>
              <w:rPr>
                <w:rFonts w:hint="eastAsia" w:ascii="宋体" w:hAnsi="宋体" w:cs="宋体"/>
                <w:i w:val="0"/>
                <w:iCs w:val="0"/>
                <w:color w:val="000000"/>
                <w:kern w:val="0"/>
                <w:sz w:val="18"/>
                <w:szCs w:val="18"/>
                <w:highlight w:val="none"/>
                <w:u w:val="none"/>
                <w:lang w:val="en-US" w:eastAsia="zh-CN" w:bidi="ar"/>
              </w:rPr>
              <w:t>米</w:t>
            </w:r>
            <w:r>
              <w:rPr>
                <w:rFonts w:hint="eastAsia" w:ascii="宋体" w:hAnsi="宋体" w:eastAsia="宋体" w:cs="宋体"/>
                <w:i w:val="0"/>
                <w:iCs w:val="0"/>
                <w:color w:val="000000"/>
                <w:kern w:val="0"/>
                <w:sz w:val="18"/>
                <w:szCs w:val="18"/>
                <w:highlight w:val="none"/>
                <w:u w:val="none"/>
                <w:lang w:val="en-US" w:eastAsia="zh-CN" w:bidi="ar"/>
              </w:rPr>
              <w:t>）</w:t>
            </w:r>
          </w:p>
        </w:tc>
        <w:tc>
          <w:tcPr>
            <w:tcW w:w="365" w:type="dxa"/>
            <w:vMerge w:val="restart"/>
            <w:tcBorders>
              <w:top w:val="single" w:color="000000" w:sz="4" w:space="0"/>
              <w:left w:val="single" w:color="000000" w:sz="4" w:space="0"/>
              <w:right w:val="single" w:color="000000" w:sz="4" w:space="0"/>
            </w:tcBorders>
            <w:noWrap w:val="0"/>
            <w:vAlign w:val="center"/>
          </w:tcPr>
          <w:p w14:paraId="2B2A394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kern w:val="0"/>
                <w:sz w:val="18"/>
                <w:szCs w:val="18"/>
                <w:highlight w:val="none"/>
                <w:u w:val="none"/>
                <w:lang w:val="en-US" w:eastAsia="zh-CN" w:bidi="ar"/>
              </w:rPr>
              <w:t>≥</w:t>
            </w:r>
            <w:r>
              <w:rPr>
                <w:rFonts w:hint="eastAsia" w:ascii="宋体" w:hAnsi="宋体" w:eastAsia="宋体" w:cs="宋体"/>
                <w:i w:val="0"/>
                <w:iCs w:val="0"/>
                <w:color w:val="000000"/>
                <w:kern w:val="0"/>
                <w:sz w:val="18"/>
                <w:szCs w:val="18"/>
                <w:highlight w:val="none"/>
                <w:u w:val="none"/>
                <w:lang w:val="en-US" w:eastAsia="zh-CN" w:bidi="ar"/>
              </w:rPr>
              <w:t>10</w:t>
            </w:r>
            <w:r>
              <w:rPr>
                <w:rFonts w:hint="default" w:ascii="宋体" w:hAnsi="宋体" w:cs="宋体"/>
                <w:i w:val="0"/>
                <w:iCs w:val="0"/>
                <w:color w:val="000000"/>
                <w:kern w:val="0"/>
                <w:sz w:val="18"/>
                <w:szCs w:val="18"/>
                <w:highlight w:val="none"/>
                <w:u w:val="none"/>
                <w:lang w:val="en" w:eastAsia="zh-CN" w:bidi="ar"/>
              </w:rPr>
              <w:t>摄氏度</w:t>
            </w:r>
            <w:r>
              <w:rPr>
                <w:rFonts w:hint="eastAsia" w:ascii="宋体" w:hAnsi="宋体" w:eastAsia="宋体" w:cs="宋体"/>
                <w:i w:val="0"/>
                <w:iCs w:val="0"/>
                <w:color w:val="000000"/>
                <w:kern w:val="0"/>
                <w:sz w:val="18"/>
                <w:szCs w:val="18"/>
                <w:highlight w:val="none"/>
                <w:u w:val="none"/>
                <w:lang w:val="en-US" w:eastAsia="zh-CN" w:bidi="ar"/>
              </w:rPr>
              <w:t>的积温</w:t>
            </w:r>
          </w:p>
        </w:tc>
        <w:tc>
          <w:tcPr>
            <w:tcW w:w="291" w:type="dxa"/>
            <w:vMerge w:val="restart"/>
            <w:tcBorders>
              <w:top w:val="single" w:color="000000" w:sz="4" w:space="0"/>
              <w:left w:val="single" w:color="000000" w:sz="4" w:space="0"/>
              <w:right w:val="single" w:color="000000" w:sz="4" w:space="0"/>
            </w:tcBorders>
            <w:noWrap w:val="0"/>
            <w:vAlign w:val="center"/>
          </w:tcPr>
          <w:p w14:paraId="6209F7A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全能光年小时数</w:t>
            </w:r>
          </w:p>
        </w:tc>
        <w:tc>
          <w:tcPr>
            <w:tcW w:w="440" w:type="dxa"/>
            <w:vMerge w:val="restart"/>
            <w:tcBorders>
              <w:top w:val="single" w:color="000000" w:sz="4" w:space="0"/>
              <w:left w:val="single" w:color="000000" w:sz="4" w:space="0"/>
              <w:right w:val="single" w:color="000000" w:sz="4" w:space="0"/>
            </w:tcBorders>
            <w:noWrap w:val="0"/>
            <w:vAlign w:val="center"/>
          </w:tcPr>
          <w:p w14:paraId="4D21BFC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全年有雾天数（天）</w:t>
            </w:r>
          </w:p>
        </w:tc>
        <w:tc>
          <w:tcPr>
            <w:tcW w:w="291" w:type="dxa"/>
            <w:vMerge w:val="restart"/>
            <w:tcBorders>
              <w:top w:val="nil"/>
              <w:left w:val="single" w:color="000000" w:sz="4" w:space="0"/>
              <w:right w:val="single" w:color="000000" w:sz="4" w:space="0"/>
            </w:tcBorders>
            <w:noWrap w:val="0"/>
            <w:vAlign w:val="center"/>
          </w:tcPr>
          <w:p w14:paraId="0EC7F99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是否变更过植被恢复方案</w:t>
            </w:r>
          </w:p>
        </w:tc>
        <w:tc>
          <w:tcPr>
            <w:tcW w:w="291" w:type="dxa"/>
            <w:vMerge w:val="restart"/>
            <w:tcBorders>
              <w:top w:val="nil"/>
              <w:left w:val="single" w:color="000000" w:sz="4" w:space="0"/>
              <w:right w:val="single" w:color="000000" w:sz="4" w:space="0"/>
            </w:tcBorders>
            <w:noWrap w:val="0"/>
            <w:vAlign w:val="center"/>
          </w:tcPr>
          <w:p w14:paraId="72C9F8F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是否按照方案开展植被恢复</w:t>
            </w:r>
          </w:p>
        </w:tc>
        <w:tc>
          <w:tcPr>
            <w:tcW w:w="1298" w:type="dxa"/>
            <w:gridSpan w:val="4"/>
            <w:tcBorders>
              <w:top w:val="nil"/>
              <w:left w:val="single" w:color="000000" w:sz="4" w:space="0"/>
              <w:bottom w:val="single" w:color="auto" w:sz="4" w:space="0"/>
              <w:right w:val="single" w:color="000000" w:sz="4" w:space="0"/>
            </w:tcBorders>
            <w:noWrap w:val="0"/>
            <w:vAlign w:val="center"/>
          </w:tcPr>
          <w:p w14:paraId="7B63D903">
            <w:pPr>
              <w:jc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目标草种长势</w:t>
            </w:r>
          </w:p>
        </w:tc>
        <w:tc>
          <w:tcPr>
            <w:tcW w:w="540" w:type="dxa"/>
            <w:gridSpan w:val="2"/>
            <w:tcBorders>
              <w:top w:val="nil"/>
              <w:left w:val="single" w:color="000000" w:sz="4" w:space="0"/>
              <w:bottom w:val="single" w:color="auto" w:sz="4" w:space="0"/>
              <w:right w:val="single" w:color="000000" w:sz="4" w:space="0"/>
            </w:tcBorders>
            <w:noWrap w:val="0"/>
            <w:vAlign w:val="center"/>
          </w:tcPr>
          <w:p w14:paraId="7A9F8453">
            <w:pPr>
              <w:jc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cs="宋体"/>
                <w:i w:val="0"/>
                <w:iCs w:val="0"/>
                <w:color w:val="000000"/>
                <w:sz w:val="18"/>
                <w:szCs w:val="18"/>
                <w:highlight w:val="none"/>
                <w:u w:val="none"/>
                <w:lang w:val="en-US" w:eastAsia="zh-CN"/>
              </w:rPr>
              <w:t>管护情况</w:t>
            </w:r>
          </w:p>
        </w:tc>
      </w:tr>
      <w:tr w14:paraId="7047D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2" w:hRule="atLeast"/>
        </w:trPr>
        <w:tc>
          <w:tcPr>
            <w:tcW w:w="290" w:type="dxa"/>
            <w:vMerge w:val="continue"/>
            <w:tcBorders>
              <w:left w:val="single" w:color="000000" w:sz="4" w:space="0"/>
              <w:bottom w:val="single" w:color="000000" w:sz="4" w:space="0"/>
              <w:right w:val="single" w:color="000000" w:sz="4" w:space="0"/>
            </w:tcBorders>
            <w:noWrap w:val="0"/>
            <w:vAlign w:val="center"/>
          </w:tcPr>
          <w:p w14:paraId="237D39E0">
            <w:pPr>
              <w:jc w:val="center"/>
              <w:rPr>
                <w:rFonts w:hint="eastAsia" w:ascii="宋体" w:hAnsi="宋体" w:eastAsia="宋体" w:cs="宋体"/>
                <w:i w:val="0"/>
                <w:iCs w:val="0"/>
                <w:color w:val="000000"/>
                <w:sz w:val="18"/>
                <w:szCs w:val="18"/>
                <w:highlight w:val="none"/>
                <w:u w:val="none"/>
              </w:rPr>
            </w:pPr>
          </w:p>
        </w:tc>
        <w:tc>
          <w:tcPr>
            <w:tcW w:w="290" w:type="dxa"/>
            <w:vMerge w:val="continue"/>
            <w:tcBorders>
              <w:left w:val="single" w:color="000000" w:sz="4" w:space="0"/>
              <w:bottom w:val="single" w:color="000000" w:sz="4" w:space="0"/>
              <w:right w:val="single" w:color="000000" w:sz="4" w:space="0"/>
            </w:tcBorders>
            <w:noWrap w:val="0"/>
            <w:vAlign w:val="center"/>
          </w:tcPr>
          <w:p w14:paraId="4FB2BBDA">
            <w:pPr>
              <w:jc w:val="center"/>
              <w:rPr>
                <w:rFonts w:hint="eastAsia" w:ascii="宋体" w:hAnsi="宋体" w:eastAsia="宋体" w:cs="宋体"/>
                <w:i w:val="0"/>
                <w:iCs w:val="0"/>
                <w:color w:val="000000"/>
                <w:sz w:val="18"/>
                <w:szCs w:val="18"/>
                <w:highlight w:val="none"/>
                <w:u w:val="none"/>
              </w:rPr>
            </w:pPr>
          </w:p>
        </w:tc>
        <w:tc>
          <w:tcPr>
            <w:tcW w:w="290" w:type="dxa"/>
            <w:vMerge w:val="continue"/>
            <w:tcBorders>
              <w:left w:val="single" w:color="000000" w:sz="4" w:space="0"/>
              <w:bottom w:val="single" w:color="000000" w:sz="4" w:space="0"/>
              <w:right w:val="single" w:color="000000" w:sz="4" w:space="0"/>
            </w:tcBorders>
            <w:noWrap w:val="0"/>
            <w:vAlign w:val="center"/>
          </w:tcPr>
          <w:p w14:paraId="7EF88963">
            <w:pPr>
              <w:jc w:val="center"/>
              <w:rPr>
                <w:rFonts w:hint="eastAsia" w:ascii="宋体" w:hAnsi="宋体" w:eastAsia="宋体" w:cs="宋体"/>
                <w:i w:val="0"/>
                <w:iCs w:val="0"/>
                <w:color w:val="000000"/>
                <w:sz w:val="18"/>
                <w:szCs w:val="18"/>
                <w:highlight w:val="none"/>
                <w:u w:val="none"/>
              </w:rPr>
            </w:pPr>
          </w:p>
        </w:tc>
        <w:tc>
          <w:tcPr>
            <w:tcW w:w="439" w:type="dxa"/>
            <w:vMerge w:val="continue"/>
            <w:tcBorders>
              <w:left w:val="single" w:color="000000" w:sz="4" w:space="0"/>
              <w:bottom w:val="single" w:color="000000" w:sz="4" w:space="0"/>
              <w:right w:val="single" w:color="000000" w:sz="4" w:space="0"/>
            </w:tcBorders>
            <w:noWrap w:val="0"/>
            <w:vAlign w:val="center"/>
          </w:tcPr>
          <w:p w14:paraId="56765BCB">
            <w:pPr>
              <w:jc w:val="center"/>
              <w:rPr>
                <w:rFonts w:hint="eastAsia" w:ascii="宋体" w:hAnsi="宋体" w:eastAsia="宋体" w:cs="宋体"/>
                <w:i w:val="0"/>
                <w:iCs w:val="0"/>
                <w:color w:val="000000"/>
                <w:sz w:val="18"/>
                <w:szCs w:val="18"/>
                <w:highlight w:val="none"/>
                <w:u w:val="none"/>
              </w:rPr>
            </w:pPr>
          </w:p>
        </w:tc>
        <w:tc>
          <w:tcPr>
            <w:tcW w:w="290" w:type="dxa"/>
            <w:vMerge w:val="continue"/>
            <w:tcBorders>
              <w:left w:val="single" w:color="000000" w:sz="4" w:space="0"/>
              <w:bottom w:val="single" w:color="000000" w:sz="4" w:space="0"/>
              <w:right w:val="single" w:color="000000" w:sz="4" w:space="0"/>
            </w:tcBorders>
            <w:noWrap w:val="0"/>
            <w:vAlign w:val="center"/>
          </w:tcPr>
          <w:p w14:paraId="185AA3CA">
            <w:pPr>
              <w:jc w:val="center"/>
              <w:rPr>
                <w:rFonts w:hint="eastAsia" w:ascii="宋体" w:hAnsi="宋体" w:eastAsia="宋体" w:cs="宋体"/>
                <w:i w:val="0"/>
                <w:iCs w:val="0"/>
                <w:color w:val="000000"/>
                <w:sz w:val="18"/>
                <w:szCs w:val="18"/>
                <w:highlight w:val="none"/>
                <w:u w:val="none"/>
              </w:rPr>
            </w:pPr>
          </w:p>
        </w:tc>
        <w:tc>
          <w:tcPr>
            <w:tcW w:w="439" w:type="dxa"/>
            <w:vMerge w:val="continue"/>
            <w:tcBorders>
              <w:left w:val="single" w:color="000000" w:sz="4" w:space="0"/>
              <w:bottom w:val="single" w:color="000000" w:sz="4" w:space="0"/>
              <w:right w:val="single" w:color="000000" w:sz="4" w:space="0"/>
            </w:tcBorders>
            <w:noWrap w:val="0"/>
            <w:vAlign w:val="center"/>
          </w:tcPr>
          <w:p w14:paraId="7B7C25CA">
            <w:pPr>
              <w:jc w:val="center"/>
              <w:rPr>
                <w:rFonts w:hint="eastAsia" w:ascii="宋体" w:hAnsi="宋体" w:eastAsia="宋体" w:cs="宋体"/>
                <w:i w:val="0"/>
                <w:iCs w:val="0"/>
                <w:color w:val="000000"/>
                <w:sz w:val="18"/>
                <w:szCs w:val="18"/>
                <w:highlight w:val="none"/>
                <w:u w:val="none"/>
              </w:rPr>
            </w:pPr>
          </w:p>
        </w:tc>
        <w:tc>
          <w:tcPr>
            <w:tcW w:w="290" w:type="dxa"/>
            <w:vMerge w:val="continue"/>
            <w:tcBorders>
              <w:left w:val="single" w:color="000000" w:sz="4" w:space="0"/>
              <w:bottom w:val="single" w:color="000000" w:sz="4" w:space="0"/>
              <w:right w:val="single" w:color="000000" w:sz="4" w:space="0"/>
            </w:tcBorders>
            <w:noWrap w:val="0"/>
            <w:vAlign w:val="center"/>
          </w:tcPr>
          <w:p w14:paraId="706D716E">
            <w:pPr>
              <w:jc w:val="center"/>
              <w:rPr>
                <w:rFonts w:hint="eastAsia" w:ascii="宋体" w:hAnsi="宋体" w:eastAsia="宋体" w:cs="宋体"/>
                <w:i w:val="0"/>
                <w:iCs w:val="0"/>
                <w:color w:val="000000"/>
                <w:sz w:val="18"/>
                <w:szCs w:val="18"/>
                <w:highlight w:val="none"/>
                <w:u w:val="none"/>
              </w:rPr>
            </w:pPr>
          </w:p>
        </w:tc>
        <w:tc>
          <w:tcPr>
            <w:tcW w:w="290" w:type="dxa"/>
            <w:vMerge w:val="continue"/>
            <w:tcBorders>
              <w:left w:val="single" w:color="000000" w:sz="4" w:space="0"/>
              <w:bottom w:val="single" w:color="000000" w:sz="4" w:space="0"/>
              <w:right w:val="single" w:color="000000" w:sz="4" w:space="0"/>
            </w:tcBorders>
            <w:noWrap w:val="0"/>
            <w:vAlign w:val="center"/>
          </w:tcPr>
          <w:p w14:paraId="4C8731F9">
            <w:pPr>
              <w:jc w:val="center"/>
              <w:rPr>
                <w:rFonts w:hint="eastAsia" w:ascii="宋体" w:hAnsi="宋体" w:eastAsia="宋体" w:cs="宋体"/>
                <w:i w:val="0"/>
                <w:iCs w:val="0"/>
                <w:color w:val="000000"/>
                <w:sz w:val="18"/>
                <w:szCs w:val="18"/>
                <w:highlight w:val="none"/>
                <w:u w:val="none"/>
              </w:rPr>
            </w:pPr>
          </w:p>
        </w:tc>
        <w:tc>
          <w:tcPr>
            <w:tcW w:w="290" w:type="dxa"/>
            <w:vMerge w:val="continue"/>
            <w:tcBorders>
              <w:left w:val="single" w:color="000000" w:sz="4" w:space="0"/>
              <w:bottom w:val="single" w:color="000000" w:sz="4" w:space="0"/>
              <w:right w:val="single" w:color="000000" w:sz="4" w:space="0"/>
            </w:tcBorders>
            <w:noWrap w:val="0"/>
            <w:vAlign w:val="center"/>
          </w:tcPr>
          <w:p w14:paraId="1405E9AA">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0" w:type="dxa"/>
            <w:vMerge w:val="continue"/>
            <w:tcBorders>
              <w:left w:val="single" w:color="000000" w:sz="4" w:space="0"/>
              <w:bottom w:val="single" w:color="000000" w:sz="4" w:space="0"/>
              <w:right w:val="single" w:color="000000" w:sz="4" w:space="0"/>
            </w:tcBorders>
            <w:noWrap w:val="0"/>
            <w:vAlign w:val="center"/>
          </w:tcPr>
          <w:p w14:paraId="361FC41C">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0" w:type="dxa"/>
            <w:vMerge w:val="continue"/>
            <w:tcBorders>
              <w:left w:val="single" w:color="000000" w:sz="4" w:space="0"/>
              <w:bottom w:val="single" w:color="000000" w:sz="4" w:space="0"/>
              <w:right w:val="single" w:color="000000" w:sz="4" w:space="0"/>
            </w:tcBorders>
            <w:noWrap w:val="0"/>
            <w:vAlign w:val="center"/>
          </w:tcPr>
          <w:p w14:paraId="11DA336E">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0" w:type="dxa"/>
            <w:vMerge w:val="continue"/>
            <w:tcBorders>
              <w:left w:val="single" w:color="000000" w:sz="4" w:space="0"/>
              <w:bottom w:val="single" w:color="000000" w:sz="4" w:space="0"/>
              <w:right w:val="single" w:color="000000" w:sz="4" w:space="0"/>
            </w:tcBorders>
            <w:noWrap w:val="0"/>
            <w:vAlign w:val="center"/>
          </w:tcPr>
          <w:p w14:paraId="7B7BC26E">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0" w:type="dxa"/>
            <w:vMerge w:val="continue"/>
            <w:tcBorders>
              <w:left w:val="single" w:color="000000" w:sz="4" w:space="0"/>
              <w:bottom w:val="single" w:color="000000" w:sz="4" w:space="0"/>
              <w:right w:val="single" w:color="000000" w:sz="4" w:space="0"/>
            </w:tcBorders>
            <w:noWrap w:val="0"/>
            <w:vAlign w:val="center"/>
          </w:tcPr>
          <w:p w14:paraId="72BBFBAF">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0" w:type="dxa"/>
            <w:vMerge w:val="continue"/>
            <w:tcBorders>
              <w:left w:val="single" w:color="000000" w:sz="4" w:space="0"/>
              <w:bottom w:val="single" w:color="000000" w:sz="4" w:space="0"/>
              <w:right w:val="single" w:color="000000" w:sz="4" w:space="0"/>
            </w:tcBorders>
            <w:noWrap w:val="0"/>
            <w:vAlign w:val="center"/>
          </w:tcPr>
          <w:p w14:paraId="113EE35C">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364" w:type="dxa"/>
            <w:vMerge w:val="continue"/>
            <w:tcBorders>
              <w:left w:val="single" w:color="000000" w:sz="4" w:space="0"/>
              <w:bottom w:val="single" w:color="000000" w:sz="4" w:space="0"/>
              <w:right w:val="single" w:color="000000" w:sz="4" w:space="0"/>
            </w:tcBorders>
            <w:noWrap w:val="0"/>
            <w:vAlign w:val="center"/>
          </w:tcPr>
          <w:p w14:paraId="7D8B7C85">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473A31A1">
            <w:pPr>
              <w:jc w:val="center"/>
              <w:rPr>
                <w:rFonts w:hint="eastAsia" w:ascii="宋体" w:hAnsi="宋体" w:eastAsia="宋体" w:cs="宋体"/>
                <w:i w:val="0"/>
                <w:iCs w:val="0"/>
                <w:color w:val="000000"/>
                <w:sz w:val="18"/>
                <w:szCs w:val="18"/>
                <w:highlight w:val="none"/>
                <w:u w:val="none"/>
              </w:rPr>
            </w:pPr>
          </w:p>
        </w:tc>
        <w:tc>
          <w:tcPr>
            <w:tcW w:w="291" w:type="dxa"/>
            <w:vMerge w:val="continue"/>
            <w:tcBorders>
              <w:left w:val="single" w:color="000000" w:sz="4" w:space="0"/>
              <w:bottom w:val="single" w:color="000000" w:sz="4" w:space="0"/>
              <w:right w:val="single" w:color="000000" w:sz="4" w:space="0"/>
            </w:tcBorders>
            <w:noWrap w:val="0"/>
            <w:vAlign w:val="center"/>
          </w:tcPr>
          <w:p w14:paraId="2F9A230C">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42F2574C">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5B174EB2">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7034BE54">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6A16B307">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4E69B693">
            <w:pPr>
              <w:jc w:val="center"/>
              <w:rPr>
                <w:rFonts w:hint="eastAsia" w:ascii="宋体" w:hAnsi="宋体" w:eastAsia="宋体" w:cs="宋体"/>
                <w:i w:val="0"/>
                <w:iCs w:val="0"/>
                <w:color w:val="000000"/>
                <w:sz w:val="18"/>
                <w:szCs w:val="18"/>
                <w:highlight w:val="none"/>
                <w:u w:val="none"/>
              </w:rPr>
            </w:pPr>
          </w:p>
        </w:tc>
        <w:tc>
          <w:tcPr>
            <w:tcW w:w="291" w:type="dxa"/>
            <w:vMerge w:val="continue"/>
            <w:tcBorders>
              <w:left w:val="single" w:color="000000" w:sz="4" w:space="0"/>
              <w:bottom w:val="single" w:color="000000" w:sz="4" w:space="0"/>
              <w:right w:val="single" w:color="000000" w:sz="4" w:space="0"/>
            </w:tcBorders>
            <w:noWrap w:val="0"/>
            <w:vAlign w:val="center"/>
          </w:tcPr>
          <w:p w14:paraId="0051EE94">
            <w:pPr>
              <w:jc w:val="center"/>
              <w:rPr>
                <w:rFonts w:hint="eastAsia" w:ascii="宋体" w:hAnsi="宋体" w:eastAsia="宋体" w:cs="宋体"/>
                <w:i w:val="0"/>
                <w:iCs w:val="0"/>
                <w:color w:val="000000"/>
                <w:sz w:val="18"/>
                <w:szCs w:val="18"/>
                <w:highlight w:val="none"/>
                <w:u w:val="none"/>
              </w:rPr>
            </w:pPr>
          </w:p>
        </w:tc>
        <w:tc>
          <w:tcPr>
            <w:tcW w:w="291" w:type="dxa"/>
            <w:vMerge w:val="continue"/>
            <w:tcBorders>
              <w:left w:val="single" w:color="000000" w:sz="4" w:space="0"/>
              <w:bottom w:val="single" w:color="000000" w:sz="4" w:space="0"/>
              <w:right w:val="single" w:color="000000" w:sz="4" w:space="0"/>
            </w:tcBorders>
            <w:noWrap w:val="0"/>
            <w:vAlign w:val="center"/>
          </w:tcPr>
          <w:p w14:paraId="54878E48">
            <w:pPr>
              <w:jc w:val="center"/>
              <w:rPr>
                <w:rFonts w:hint="eastAsia" w:ascii="宋体" w:hAnsi="宋体" w:eastAsia="宋体" w:cs="宋体"/>
                <w:i w:val="0"/>
                <w:iCs w:val="0"/>
                <w:color w:val="000000"/>
                <w:sz w:val="18"/>
                <w:szCs w:val="18"/>
                <w:highlight w:val="none"/>
                <w:u w:val="none"/>
              </w:rPr>
            </w:pPr>
          </w:p>
        </w:tc>
        <w:tc>
          <w:tcPr>
            <w:tcW w:w="291" w:type="dxa"/>
            <w:vMerge w:val="continue"/>
            <w:tcBorders>
              <w:left w:val="single" w:color="000000" w:sz="4" w:space="0"/>
              <w:bottom w:val="single" w:color="000000" w:sz="4" w:space="0"/>
              <w:right w:val="single" w:color="000000" w:sz="4" w:space="0"/>
            </w:tcBorders>
            <w:noWrap w:val="0"/>
            <w:vAlign w:val="center"/>
          </w:tcPr>
          <w:p w14:paraId="3AA9A8B1">
            <w:pPr>
              <w:jc w:val="center"/>
              <w:rPr>
                <w:rFonts w:hint="eastAsia" w:ascii="宋体" w:hAnsi="宋体" w:eastAsia="宋体" w:cs="宋体"/>
                <w:i w:val="0"/>
                <w:iCs w:val="0"/>
                <w:color w:val="000000"/>
                <w:sz w:val="18"/>
                <w:szCs w:val="18"/>
                <w:highlight w:val="none"/>
                <w:u w:val="none"/>
              </w:rPr>
            </w:pPr>
          </w:p>
        </w:tc>
        <w:tc>
          <w:tcPr>
            <w:tcW w:w="291" w:type="dxa"/>
            <w:vMerge w:val="continue"/>
            <w:tcBorders>
              <w:left w:val="single" w:color="000000" w:sz="4" w:space="0"/>
              <w:bottom w:val="single" w:color="000000" w:sz="4" w:space="0"/>
              <w:right w:val="single" w:color="000000" w:sz="4" w:space="0"/>
            </w:tcBorders>
            <w:noWrap w:val="0"/>
            <w:vAlign w:val="center"/>
          </w:tcPr>
          <w:p w14:paraId="2B316050">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1A7664C3">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081E13AE">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03E29350">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53" w:type="dxa"/>
            <w:vMerge w:val="continue"/>
            <w:tcBorders>
              <w:left w:val="single" w:color="000000" w:sz="4" w:space="0"/>
              <w:bottom w:val="single" w:color="000000" w:sz="4" w:space="0"/>
              <w:right w:val="single" w:color="000000" w:sz="4" w:space="0"/>
            </w:tcBorders>
            <w:noWrap w:val="0"/>
            <w:vAlign w:val="center"/>
          </w:tcPr>
          <w:p w14:paraId="23B50461">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53" w:type="dxa"/>
            <w:vMerge w:val="continue"/>
            <w:tcBorders>
              <w:left w:val="single" w:color="000000" w:sz="4" w:space="0"/>
              <w:bottom w:val="single" w:color="000000" w:sz="4" w:space="0"/>
              <w:right w:val="single" w:color="000000" w:sz="4" w:space="0"/>
            </w:tcBorders>
            <w:noWrap/>
            <w:vAlign w:val="center"/>
          </w:tcPr>
          <w:p w14:paraId="6FB9AF5E">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440" w:type="dxa"/>
            <w:vMerge w:val="continue"/>
            <w:tcBorders>
              <w:left w:val="single" w:color="000000" w:sz="4" w:space="0"/>
              <w:bottom w:val="single" w:color="000000" w:sz="4" w:space="0"/>
              <w:right w:val="single" w:color="000000" w:sz="4" w:space="0"/>
            </w:tcBorders>
            <w:noWrap w:val="0"/>
            <w:vAlign w:val="center"/>
          </w:tcPr>
          <w:p w14:paraId="4074CBE5">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365" w:type="dxa"/>
            <w:vMerge w:val="continue"/>
            <w:tcBorders>
              <w:left w:val="single" w:color="000000" w:sz="4" w:space="0"/>
              <w:bottom w:val="single" w:color="000000" w:sz="4" w:space="0"/>
              <w:right w:val="single" w:color="000000" w:sz="4" w:space="0"/>
            </w:tcBorders>
            <w:noWrap w:val="0"/>
            <w:vAlign w:val="center"/>
          </w:tcPr>
          <w:p w14:paraId="0A00EBE0">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365" w:type="dxa"/>
            <w:vMerge w:val="continue"/>
            <w:tcBorders>
              <w:left w:val="single" w:color="000000" w:sz="4" w:space="0"/>
              <w:bottom w:val="single" w:color="000000" w:sz="4" w:space="0"/>
              <w:right w:val="single" w:color="000000" w:sz="4" w:space="0"/>
            </w:tcBorders>
            <w:noWrap w:val="0"/>
            <w:vAlign w:val="center"/>
          </w:tcPr>
          <w:p w14:paraId="668A0373">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61DDD50A">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440" w:type="dxa"/>
            <w:vMerge w:val="continue"/>
            <w:tcBorders>
              <w:left w:val="single" w:color="000000" w:sz="4" w:space="0"/>
              <w:bottom w:val="single" w:color="000000" w:sz="4" w:space="0"/>
              <w:right w:val="single" w:color="000000" w:sz="4" w:space="0"/>
            </w:tcBorders>
            <w:noWrap w:val="0"/>
            <w:vAlign w:val="center"/>
          </w:tcPr>
          <w:p w14:paraId="44A6231E">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2AC21F43">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vMerge w:val="continue"/>
            <w:tcBorders>
              <w:left w:val="single" w:color="000000" w:sz="4" w:space="0"/>
              <w:bottom w:val="single" w:color="000000" w:sz="4" w:space="0"/>
              <w:right w:val="single" w:color="000000" w:sz="4" w:space="0"/>
            </w:tcBorders>
            <w:noWrap w:val="0"/>
            <w:vAlign w:val="center"/>
          </w:tcPr>
          <w:p w14:paraId="7CF163F1">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91" w:type="dxa"/>
            <w:tcBorders>
              <w:top w:val="single" w:color="auto" w:sz="4" w:space="0"/>
              <w:left w:val="single" w:color="000000" w:sz="4" w:space="0"/>
              <w:bottom w:val="single" w:color="000000" w:sz="4" w:space="0"/>
              <w:right w:val="single" w:color="000000" w:sz="4" w:space="0"/>
            </w:tcBorders>
            <w:noWrap w:val="0"/>
            <w:vAlign w:val="center"/>
          </w:tcPr>
          <w:p w14:paraId="13BF55B1">
            <w:pPr>
              <w:keepNext w:val="0"/>
              <w:keepLines w:val="0"/>
              <w:widowControl/>
              <w:suppressLineNumbers w:val="0"/>
              <w:jc w:val="center"/>
              <w:textAlignment w:val="center"/>
              <w:rPr>
                <w:rFonts w:hint="default" w:ascii="宋体" w:hAnsi="宋体" w:eastAsia="宋体" w:cs="宋体"/>
                <w:i w:val="0"/>
                <w:iCs w:val="0"/>
                <w:color w:val="000000"/>
                <w:kern w:val="0"/>
                <w:sz w:val="18"/>
                <w:szCs w:val="18"/>
                <w:highlight w:val="none"/>
                <w:u w:val="none"/>
                <w:lang w:val="en-US" w:eastAsia="zh-CN" w:bidi="ar"/>
              </w:rPr>
            </w:pPr>
            <w:r>
              <w:rPr>
                <w:rFonts w:hint="eastAsia" w:ascii="宋体" w:hAnsi="宋体" w:cs="宋体"/>
                <w:i w:val="0"/>
                <w:iCs w:val="0"/>
                <w:color w:val="000000"/>
                <w:kern w:val="0"/>
                <w:sz w:val="18"/>
                <w:szCs w:val="18"/>
                <w:highlight w:val="none"/>
                <w:u w:val="none"/>
                <w:lang w:val="en-US" w:eastAsia="zh-CN" w:bidi="ar"/>
              </w:rPr>
              <w:t>种数</w:t>
            </w:r>
          </w:p>
        </w:tc>
        <w:tc>
          <w:tcPr>
            <w:tcW w:w="365" w:type="dxa"/>
            <w:tcBorders>
              <w:top w:val="single" w:color="auto" w:sz="4" w:space="0"/>
              <w:left w:val="single" w:color="000000" w:sz="4" w:space="0"/>
              <w:bottom w:val="single" w:color="000000" w:sz="4" w:space="0"/>
              <w:right w:val="single" w:color="000000" w:sz="4" w:space="0"/>
            </w:tcBorders>
            <w:noWrap w:val="0"/>
            <w:vAlign w:val="center"/>
          </w:tcPr>
          <w:p w14:paraId="7A51590E">
            <w:pPr>
              <w:jc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cs="宋体"/>
                <w:i w:val="0"/>
                <w:iCs w:val="0"/>
                <w:color w:val="000000"/>
                <w:sz w:val="18"/>
                <w:szCs w:val="18"/>
                <w:highlight w:val="none"/>
                <w:u w:val="none"/>
                <w:lang w:val="en-US" w:eastAsia="zh-CN"/>
              </w:rPr>
              <w:t>高度（厘米）</w:t>
            </w:r>
          </w:p>
        </w:tc>
        <w:tc>
          <w:tcPr>
            <w:tcW w:w="291" w:type="dxa"/>
            <w:tcBorders>
              <w:top w:val="single" w:color="auto" w:sz="4" w:space="0"/>
              <w:left w:val="single" w:color="000000" w:sz="4" w:space="0"/>
              <w:bottom w:val="single" w:color="000000" w:sz="4" w:space="0"/>
              <w:right w:val="single" w:color="000000" w:sz="4" w:space="0"/>
            </w:tcBorders>
            <w:noWrap w:val="0"/>
            <w:vAlign w:val="center"/>
          </w:tcPr>
          <w:p w14:paraId="5C9546B4">
            <w:pPr>
              <w:jc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cs="宋体"/>
                <w:i w:val="0"/>
                <w:iCs w:val="0"/>
                <w:color w:val="000000"/>
                <w:sz w:val="18"/>
                <w:szCs w:val="18"/>
                <w:highlight w:val="none"/>
                <w:u w:val="none"/>
                <w:lang w:val="en-US" w:eastAsia="zh-CN"/>
              </w:rPr>
              <w:t>盖度（%）</w:t>
            </w:r>
          </w:p>
        </w:tc>
        <w:tc>
          <w:tcPr>
            <w:tcW w:w="351" w:type="dxa"/>
            <w:tcBorders>
              <w:top w:val="single" w:color="auto" w:sz="4" w:space="0"/>
              <w:left w:val="single" w:color="000000" w:sz="4" w:space="0"/>
              <w:bottom w:val="single" w:color="000000" w:sz="4" w:space="0"/>
              <w:right w:val="single" w:color="000000" w:sz="4" w:space="0"/>
            </w:tcBorders>
            <w:noWrap w:val="0"/>
            <w:vAlign w:val="center"/>
          </w:tcPr>
          <w:p w14:paraId="2203BCE8">
            <w:pPr>
              <w:jc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cs="宋体"/>
                <w:i w:val="0"/>
                <w:iCs w:val="0"/>
                <w:color w:val="000000"/>
                <w:sz w:val="18"/>
                <w:szCs w:val="18"/>
                <w:highlight w:val="none"/>
                <w:u w:val="none"/>
                <w:lang w:val="en-US" w:eastAsia="zh-CN"/>
              </w:rPr>
              <w:t>草产量（克/平方米）</w:t>
            </w:r>
          </w:p>
        </w:tc>
        <w:tc>
          <w:tcPr>
            <w:tcW w:w="285" w:type="dxa"/>
            <w:tcBorders>
              <w:top w:val="single" w:color="auto" w:sz="4" w:space="0"/>
              <w:left w:val="single" w:color="000000" w:sz="4" w:space="0"/>
              <w:bottom w:val="single" w:color="000000" w:sz="4" w:space="0"/>
              <w:right w:val="single" w:color="000000" w:sz="4" w:space="0"/>
            </w:tcBorders>
            <w:noWrap w:val="0"/>
            <w:vAlign w:val="center"/>
          </w:tcPr>
          <w:p w14:paraId="62B98089">
            <w:pPr>
              <w:jc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cs="宋体"/>
                <w:i w:val="0"/>
                <w:iCs w:val="0"/>
                <w:color w:val="000000"/>
                <w:sz w:val="18"/>
                <w:szCs w:val="18"/>
                <w:highlight w:val="none"/>
                <w:u w:val="none"/>
                <w:lang w:val="en-US" w:eastAsia="zh-CN"/>
              </w:rPr>
              <w:t>是否有管护人员</w:t>
            </w:r>
          </w:p>
        </w:tc>
        <w:tc>
          <w:tcPr>
            <w:tcW w:w="255" w:type="dxa"/>
            <w:tcBorders>
              <w:top w:val="single" w:color="auto" w:sz="4" w:space="0"/>
              <w:left w:val="single" w:color="000000" w:sz="4" w:space="0"/>
              <w:bottom w:val="single" w:color="000000" w:sz="4" w:space="0"/>
              <w:right w:val="single" w:color="000000" w:sz="4" w:space="0"/>
            </w:tcBorders>
            <w:noWrap w:val="0"/>
            <w:vAlign w:val="center"/>
          </w:tcPr>
          <w:p w14:paraId="1DD91B20">
            <w:pPr>
              <w:jc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cs="宋体"/>
                <w:i w:val="0"/>
                <w:iCs w:val="0"/>
                <w:color w:val="000000"/>
                <w:sz w:val="18"/>
                <w:szCs w:val="18"/>
                <w:highlight w:val="none"/>
                <w:u w:val="none"/>
                <w:lang w:val="en-US" w:eastAsia="zh-CN"/>
              </w:rPr>
              <w:t>是否补播施肥</w:t>
            </w:r>
          </w:p>
        </w:tc>
      </w:tr>
      <w:tr w14:paraId="63FBD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290" w:type="dxa"/>
            <w:tcBorders>
              <w:top w:val="single" w:color="000000" w:sz="4" w:space="0"/>
              <w:left w:val="single" w:color="000000" w:sz="4" w:space="0"/>
              <w:bottom w:val="single" w:color="000000" w:sz="4" w:space="0"/>
              <w:right w:val="single" w:color="000000" w:sz="4" w:space="0"/>
            </w:tcBorders>
            <w:noWrap w:val="0"/>
            <w:vAlign w:val="center"/>
          </w:tcPr>
          <w:p w14:paraId="39CD46B3">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3DCF121F">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09B35DE7">
            <w:pPr>
              <w:rPr>
                <w:rFonts w:hint="eastAsia" w:ascii="宋体" w:hAnsi="宋体" w:eastAsia="宋体" w:cs="宋体"/>
                <w:i w:val="0"/>
                <w:iCs w:val="0"/>
                <w:color w:val="000000"/>
                <w:sz w:val="13"/>
                <w:szCs w:val="13"/>
                <w:highlight w:val="none"/>
                <w:u w:val="none"/>
              </w:rPr>
            </w:pPr>
          </w:p>
        </w:tc>
        <w:tc>
          <w:tcPr>
            <w:tcW w:w="439" w:type="dxa"/>
            <w:tcBorders>
              <w:top w:val="single" w:color="000000" w:sz="4" w:space="0"/>
              <w:left w:val="single" w:color="000000" w:sz="4" w:space="0"/>
              <w:bottom w:val="single" w:color="000000" w:sz="4" w:space="0"/>
              <w:right w:val="single" w:color="000000" w:sz="4" w:space="0"/>
            </w:tcBorders>
            <w:noWrap w:val="0"/>
            <w:vAlign w:val="center"/>
          </w:tcPr>
          <w:p w14:paraId="1E10C36D">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4AF1D1E4">
            <w:pPr>
              <w:rPr>
                <w:rFonts w:hint="eastAsia" w:ascii="宋体" w:hAnsi="宋体" w:eastAsia="宋体" w:cs="宋体"/>
                <w:i w:val="0"/>
                <w:iCs w:val="0"/>
                <w:color w:val="000000"/>
                <w:sz w:val="13"/>
                <w:szCs w:val="13"/>
                <w:highlight w:val="none"/>
                <w:u w:val="none"/>
              </w:rPr>
            </w:pPr>
          </w:p>
        </w:tc>
        <w:tc>
          <w:tcPr>
            <w:tcW w:w="439" w:type="dxa"/>
            <w:tcBorders>
              <w:top w:val="single" w:color="000000" w:sz="4" w:space="0"/>
              <w:left w:val="single" w:color="000000" w:sz="4" w:space="0"/>
              <w:bottom w:val="single" w:color="000000" w:sz="4" w:space="0"/>
              <w:right w:val="single" w:color="000000" w:sz="4" w:space="0"/>
            </w:tcBorders>
            <w:noWrap w:val="0"/>
            <w:vAlign w:val="center"/>
          </w:tcPr>
          <w:p w14:paraId="69BEC2AF">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598D48B9">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04EC1A8A">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78AC911C">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6A3A5223">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7D55781D">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26217EEB">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07F10081">
            <w:pPr>
              <w:rPr>
                <w:rFonts w:hint="eastAsia" w:ascii="宋体" w:hAnsi="宋体" w:eastAsia="宋体" w:cs="宋体"/>
                <w:i w:val="0"/>
                <w:iCs w:val="0"/>
                <w:color w:val="000000"/>
                <w:sz w:val="13"/>
                <w:szCs w:val="13"/>
                <w:highlight w:val="none"/>
                <w:u w:val="none"/>
              </w:rPr>
            </w:pPr>
          </w:p>
        </w:tc>
        <w:tc>
          <w:tcPr>
            <w:tcW w:w="290" w:type="dxa"/>
            <w:tcBorders>
              <w:top w:val="single" w:color="000000" w:sz="4" w:space="0"/>
              <w:left w:val="single" w:color="000000" w:sz="4" w:space="0"/>
              <w:bottom w:val="single" w:color="000000" w:sz="4" w:space="0"/>
              <w:right w:val="single" w:color="000000" w:sz="4" w:space="0"/>
            </w:tcBorders>
            <w:noWrap w:val="0"/>
            <w:vAlign w:val="center"/>
          </w:tcPr>
          <w:p w14:paraId="355739F0">
            <w:pPr>
              <w:rPr>
                <w:rFonts w:hint="eastAsia" w:ascii="宋体" w:hAnsi="宋体" w:eastAsia="宋体" w:cs="宋体"/>
                <w:i w:val="0"/>
                <w:iCs w:val="0"/>
                <w:color w:val="000000"/>
                <w:sz w:val="13"/>
                <w:szCs w:val="13"/>
                <w:highlight w:val="none"/>
                <w:u w:val="none"/>
              </w:rPr>
            </w:pPr>
          </w:p>
        </w:tc>
        <w:tc>
          <w:tcPr>
            <w:tcW w:w="364" w:type="dxa"/>
            <w:tcBorders>
              <w:top w:val="single" w:color="000000" w:sz="4" w:space="0"/>
              <w:left w:val="single" w:color="000000" w:sz="4" w:space="0"/>
              <w:bottom w:val="single" w:color="000000" w:sz="4" w:space="0"/>
              <w:right w:val="single" w:color="000000" w:sz="4" w:space="0"/>
            </w:tcBorders>
            <w:noWrap w:val="0"/>
            <w:vAlign w:val="center"/>
          </w:tcPr>
          <w:p w14:paraId="473BF2BF">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7DA649D3">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189AE7F3">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5953BAAE">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18F7D850">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7B42B989">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67F4A0CF">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1B940C66">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1A6C5380">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314A5E5A">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10D0ABC6">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4EB5282F">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01C015D9">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4E438710">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6A0BF681">
            <w:pPr>
              <w:rPr>
                <w:rFonts w:hint="eastAsia" w:ascii="宋体" w:hAnsi="宋体" w:eastAsia="宋体" w:cs="宋体"/>
                <w:i w:val="0"/>
                <w:iCs w:val="0"/>
                <w:color w:val="000000"/>
                <w:sz w:val="13"/>
                <w:szCs w:val="13"/>
                <w:highlight w:val="none"/>
                <w:u w:val="none"/>
              </w:rPr>
            </w:pPr>
          </w:p>
        </w:tc>
        <w:tc>
          <w:tcPr>
            <w:tcW w:w="253" w:type="dxa"/>
            <w:tcBorders>
              <w:top w:val="single" w:color="000000" w:sz="4" w:space="0"/>
              <w:left w:val="single" w:color="000000" w:sz="4" w:space="0"/>
              <w:bottom w:val="single" w:color="000000" w:sz="4" w:space="0"/>
              <w:right w:val="single" w:color="000000" w:sz="4" w:space="0"/>
            </w:tcBorders>
            <w:noWrap w:val="0"/>
            <w:vAlign w:val="center"/>
          </w:tcPr>
          <w:p w14:paraId="276EC89D">
            <w:pPr>
              <w:rPr>
                <w:rFonts w:hint="eastAsia" w:ascii="宋体" w:hAnsi="宋体" w:eastAsia="宋体" w:cs="宋体"/>
                <w:i w:val="0"/>
                <w:iCs w:val="0"/>
                <w:color w:val="000000"/>
                <w:sz w:val="13"/>
                <w:szCs w:val="13"/>
                <w:highlight w:val="none"/>
                <w:u w:val="none"/>
              </w:rPr>
            </w:pPr>
          </w:p>
        </w:tc>
        <w:tc>
          <w:tcPr>
            <w:tcW w:w="253" w:type="dxa"/>
            <w:tcBorders>
              <w:top w:val="single" w:color="000000" w:sz="4" w:space="0"/>
              <w:left w:val="single" w:color="000000" w:sz="4" w:space="0"/>
              <w:bottom w:val="single" w:color="000000" w:sz="4" w:space="0"/>
              <w:right w:val="single" w:color="000000" w:sz="4" w:space="0"/>
            </w:tcBorders>
            <w:noWrap/>
            <w:vAlign w:val="center"/>
          </w:tcPr>
          <w:p w14:paraId="01B720CF">
            <w:pPr>
              <w:rPr>
                <w:rFonts w:hint="eastAsia" w:ascii="宋体" w:hAnsi="宋体" w:eastAsia="宋体" w:cs="宋体"/>
                <w:i w:val="0"/>
                <w:iCs w:val="0"/>
                <w:color w:val="000000"/>
                <w:sz w:val="13"/>
                <w:szCs w:val="13"/>
                <w:highlight w:val="none"/>
                <w:u w:val="none"/>
              </w:rPr>
            </w:pPr>
          </w:p>
        </w:tc>
        <w:tc>
          <w:tcPr>
            <w:tcW w:w="440" w:type="dxa"/>
            <w:tcBorders>
              <w:top w:val="single" w:color="000000" w:sz="4" w:space="0"/>
              <w:left w:val="single" w:color="000000" w:sz="4" w:space="0"/>
              <w:bottom w:val="single" w:color="000000" w:sz="4" w:space="0"/>
              <w:right w:val="single" w:color="000000" w:sz="4" w:space="0"/>
            </w:tcBorders>
            <w:noWrap w:val="0"/>
            <w:vAlign w:val="center"/>
          </w:tcPr>
          <w:p w14:paraId="18401FFD">
            <w:pPr>
              <w:rPr>
                <w:rFonts w:hint="eastAsia" w:ascii="宋体" w:hAnsi="宋体" w:eastAsia="宋体" w:cs="宋体"/>
                <w:i w:val="0"/>
                <w:iCs w:val="0"/>
                <w:color w:val="000000"/>
                <w:sz w:val="13"/>
                <w:szCs w:val="13"/>
                <w:highlight w:val="none"/>
                <w:u w:val="none"/>
              </w:rPr>
            </w:pPr>
          </w:p>
        </w:tc>
        <w:tc>
          <w:tcPr>
            <w:tcW w:w="365" w:type="dxa"/>
            <w:tcBorders>
              <w:top w:val="single" w:color="000000" w:sz="4" w:space="0"/>
              <w:left w:val="single" w:color="000000" w:sz="4" w:space="0"/>
              <w:bottom w:val="single" w:color="000000" w:sz="4" w:space="0"/>
              <w:right w:val="single" w:color="000000" w:sz="4" w:space="0"/>
            </w:tcBorders>
            <w:noWrap w:val="0"/>
            <w:vAlign w:val="center"/>
          </w:tcPr>
          <w:p w14:paraId="485C3F82">
            <w:pPr>
              <w:rPr>
                <w:rFonts w:hint="eastAsia" w:ascii="宋体" w:hAnsi="宋体" w:eastAsia="宋体" w:cs="宋体"/>
                <w:i w:val="0"/>
                <w:iCs w:val="0"/>
                <w:color w:val="000000"/>
                <w:sz w:val="13"/>
                <w:szCs w:val="13"/>
                <w:highlight w:val="none"/>
                <w:u w:val="none"/>
              </w:rPr>
            </w:pPr>
          </w:p>
        </w:tc>
        <w:tc>
          <w:tcPr>
            <w:tcW w:w="365" w:type="dxa"/>
            <w:tcBorders>
              <w:top w:val="single" w:color="000000" w:sz="4" w:space="0"/>
              <w:left w:val="single" w:color="000000" w:sz="4" w:space="0"/>
              <w:bottom w:val="single" w:color="000000" w:sz="4" w:space="0"/>
              <w:right w:val="single" w:color="000000" w:sz="4" w:space="0"/>
            </w:tcBorders>
            <w:noWrap w:val="0"/>
            <w:vAlign w:val="center"/>
          </w:tcPr>
          <w:p w14:paraId="34EC232D">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108DC003">
            <w:pPr>
              <w:rPr>
                <w:rFonts w:hint="eastAsia" w:ascii="宋体" w:hAnsi="宋体" w:eastAsia="宋体" w:cs="宋体"/>
                <w:i w:val="0"/>
                <w:iCs w:val="0"/>
                <w:color w:val="000000"/>
                <w:sz w:val="13"/>
                <w:szCs w:val="13"/>
                <w:highlight w:val="none"/>
                <w:u w:val="none"/>
              </w:rPr>
            </w:pPr>
          </w:p>
        </w:tc>
        <w:tc>
          <w:tcPr>
            <w:tcW w:w="440" w:type="dxa"/>
            <w:tcBorders>
              <w:top w:val="single" w:color="000000" w:sz="4" w:space="0"/>
              <w:left w:val="single" w:color="000000" w:sz="4" w:space="0"/>
              <w:bottom w:val="single" w:color="000000" w:sz="4" w:space="0"/>
              <w:right w:val="single" w:color="000000" w:sz="4" w:space="0"/>
            </w:tcBorders>
            <w:noWrap w:val="0"/>
            <w:vAlign w:val="center"/>
          </w:tcPr>
          <w:p w14:paraId="44B43A06">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73A12691">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18231138">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582685F3">
            <w:pPr>
              <w:rPr>
                <w:rFonts w:hint="eastAsia" w:ascii="宋体" w:hAnsi="宋体" w:eastAsia="宋体" w:cs="宋体"/>
                <w:i w:val="0"/>
                <w:iCs w:val="0"/>
                <w:color w:val="000000"/>
                <w:sz w:val="13"/>
                <w:szCs w:val="13"/>
                <w:highlight w:val="none"/>
                <w:u w:val="none"/>
              </w:rPr>
            </w:pPr>
          </w:p>
        </w:tc>
        <w:tc>
          <w:tcPr>
            <w:tcW w:w="365" w:type="dxa"/>
            <w:tcBorders>
              <w:top w:val="single" w:color="000000" w:sz="4" w:space="0"/>
              <w:left w:val="single" w:color="000000" w:sz="4" w:space="0"/>
              <w:bottom w:val="single" w:color="000000" w:sz="4" w:space="0"/>
              <w:right w:val="single" w:color="000000" w:sz="4" w:space="0"/>
            </w:tcBorders>
            <w:noWrap w:val="0"/>
            <w:vAlign w:val="center"/>
          </w:tcPr>
          <w:p w14:paraId="72F28503">
            <w:pPr>
              <w:rPr>
                <w:rFonts w:hint="eastAsia" w:ascii="宋体" w:hAnsi="宋体" w:eastAsia="宋体" w:cs="宋体"/>
                <w:i w:val="0"/>
                <w:iCs w:val="0"/>
                <w:color w:val="000000"/>
                <w:sz w:val="13"/>
                <w:szCs w:val="13"/>
                <w:highlight w:val="none"/>
                <w:u w:val="none"/>
              </w:rPr>
            </w:pPr>
          </w:p>
        </w:tc>
        <w:tc>
          <w:tcPr>
            <w:tcW w:w="291" w:type="dxa"/>
            <w:tcBorders>
              <w:top w:val="single" w:color="000000" w:sz="4" w:space="0"/>
              <w:left w:val="single" w:color="000000" w:sz="4" w:space="0"/>
              <w:bottom w:val="single" w:color="000000" w:sz="4" w:space="0"/>
              <w:right w:val="single" w:color="000000" w:sz="4" w:space="0"/>
            </w:tcBorders>
            <w:noWrap w:val="0"/>
            <w:vAlign w:val="center"/>
          </w:tcPr>
          <w:p w14:paraId="25F615FA">
            <w:pPr>
              <w:rPr>
                <w:rFonts w:hint="eastAsia" w:ascii="宋体" w:hAnsi="宋体" w:eastAsia="宋体" w:cs="宋体"/>
                <w:i w:val="0"/>
                <w:iCs w:val="0"/>
                <w:color w:val="000000"/>
                <w:sz w:val="13"/>
                <w:szCs w:val="13"/>
                <w:highlight w:val="none"/>
                <w:u w:val="none"/>
              </w:rPr>
            </w:pPr>
          </w:p>
        </w:tc>
        <w:tc>
          <w:tcPr>
            <w:tcW w:w="351" w:type="dxa"/>
            <w:tcBorders>
              <w:top w:val="single" w:color="000000" w:sz="4" w:space="0"/>
              <w:left w:val="single" w:color="000000" w:sz="4" w:space="0"/>
              <w:bottom w:val="single" w:color="000000" w:sz="4" w:space="0"/>
              <w:right w:val="single" w:color="000000" w:sz="4" w:space="0"/>
            </w:tcBorders>
            <w:noWrap w:val="0"/>
            <w:vAlign w:val="center"/>
          </w:tcPr>
          <w:p w14:paraId="4F56C662">
            <w:pPr>
              <w:rPr>
                <w:rFonts w:hint="eastAsia" w:ascii="宋体" w:hAnsi="宋体" w:eastAsia="宋体" w:cs="宋体"/>
                <w:i w:val="0"/>
                <w:iCs w:val="0"/>
                <w:color w:val="000000"/>
                <w:sz w:val="13"/>
                <w:szCs w:val="13"/>
                <w:highlight w:val="none"/>
                <w:u w:val="none"/>
              </w:rPr>
            </w:pPr>
          </w:p>
        </w:tc>
        <w:tc>
          <w:tcPr>
            <w:tcW w:w="285" w:type="dxa"/>
            <w:tcBorders>
              <w:top w:val="single" w:color="000000" w:sz="4" w:space="0"/>
              <w:left w:val="single" w:color="000000" w:sz="4" w:space="0"/>
              <w:bottom w:val="single" w:color="000000" w:sz="4" w:space="0"/>
              <w:right w:val="single" w:color="000000" w:sz="4" w:space="0"/>
            </w:tcBorders>
            <w:noWrap w:val="0"/>
            <w:vAlign w:val="center"/>
          </w:tcPr>
          <w:p w14:paraId="5B83BBBF">
            <w:pPr>
              <w:rPr>
                <w:rFonts w:hint="eastAsia" w:ascii="宋体" w:hAnsi="宋体" w:eastAsia="宋体" w:cs="宋体"/>
                <w:i w:val="0"/>
                <w:iCs w:val="0"/>
                <w:color w:val="000000"/>
                <w:sz w:val="13"/>
                <w:szCs w:val="13"/>
                <w:highlight w:val="none"/>
                <w:u w:val="none"/>
              </w:rPr>
            </w:pPr>
          </w:p>
        </w:tc>
        <w:tc>
          <w:tcPr>
            <w:tcW w:w="255" w:type="dxa"/>
            <w:tcBorders>
              <w:top w:val="single" w:color="000000" w:sz="4" w:space="0"/>
              <w:left w:val="single" w:color="000000" w:sz="4" w:space="0"/>
              <w:bottom w:val="single" w:color="000000" w:sz="4" w:space="0"/>
              <w:right w:val="single" w:color="000000" w:sz="4" w:space="0"/>
            </w:tcBorders>
            <w:noWrap w:val="0"/>
            <w:vAlign w:val="center"/>
          </w:tcPr>
          <w:p w14:paraId="14D887A7">
            <w:pPr>
              <w:rPr>
                <w:rFonts w:hint="eastAsia" w:ascii="宋体" w:hAnsi="宋体" w:eastAsia="宋体" w:cs="宋体"/>
                <w:i w:val="0"/>
                <w:iCs w:val="0"/>
                <w:color w:val="000000"/>
                <w:sz w:val="13"/>
                <w:szCs w:val="13"/>
                <w:highlight w:val="none"/>
                <w:u w:val="none"/>
              </w:rPr>
            </w:pPr>
          </w:p>
        </w:tc>
      </w:tr>
    </w:tbl>
    <w:p w14:paraId="397CB1F1">
      <w:pPr>
        <w:spacing w:line="560" w:lineRule="exact"/>
        <w:ind w:firstLine="640" w:firstLineChars="200"/>
        <w:jc w:val="left"/>
        <w:rPr>
          <w:rFonts w:hint="eastAsia" w:ascii="宋体" w:hAnsi="宋体" w:eastAsia="方正仿宋_GBK" w:cs="方正仿宋_GBK"/>
          <w:color w:val="auto"/>
          <w:sz w:val="32"/>
          <w:szCs w:val="32"/>
          <w:highlight w:val="none"/>
        </w:rPr>
        <w:sectPr>
          <w:pgSz w:w="16838" w:h="11906" w:orient="landscape"/>
          <w:pgMar w:top="1800" w:right="1440" w:bottom="1800" w:left="1440" w:header="851" w:footer="992" w:gutter="0"/>
          <w:cols w:space="720" w:num="1"/>
          <w:docGrid w:type="lines" w:linePitch="312" w:charSpace="0"/>
        </w:sectPr>
      </w:pPr>
    </w:p>
    <w:p w14:paraId="2BFA25F0">
      <w:pPr>
        <w:spacing w:line="560" w:lineRule="exact"/>
        <w:ind w:firstLine="0" w:firstLineChars="0"/>
        <w:jc w:val="left"/>
        <w:rPr>
          <w:rFonts w:hint="eastAsia" w:ascii="宋体" w:hAnsi="宋体" w:eastAsia="方正仿宋_GBK" w:cs="方正仿宋_GBK"/>
          <w:color w:val="000000"/>
          <w:sz w:val="32"/>
          <w:szCs w:val="32"/>
          <w:highlight w:val="none"/>
          <w:lang w:val="en-US" w:eastAsia="zh-CN"/>
        </w:rPr>
      </w:pPr>
      <w:r>
        <w:rPr>
          <w:rFonts w:hint="eastAsia" w:ascii="宋体" w:hAnsi="宋体" w:eastAsia="方正黑体_GBK" w:cs="方正黑体_GBK"/>
          <w:color w:val="000000"/>
          <w:sz w:val="32"/>
          <w:szCs w:val="32"/>
          <w:highlight w:val="none"/>
        </w:rPr>
        <w:t>附件</w:t>
      </w:r>
      <w:r>
        <w:rPr>
          <w:rFonts w:hint="eastAsia" w:ascii="宋体" w:hAnsi="宋体" w:eastAsia="方正仿宋_GBK" w:cs="方正仿宋_GBK"/>
          <w:color w:val="000000"/>
          <w:sz w:val="32"/>
          <w:szCs w:val="32"/>
          <w:highlight w:val="none"/>
          <w:lang w:val="en-US" w:eastAsia="zh-CN"/>
        </w:rPr>
        <w:t>2</w:t>
      </w:r>
    </w:p>
    <w:p w14:paraId="67B4AE0A">
      <w:pPr>
        <w:spacing w:line="560" w:lineRule="exact"/>
        <w:ind w:firstLine="0" w:firstLineChars="0"/>
        <w:jc w:val="left"/>
        <w:rPr>
          <w:rFonts w:hint="eastAsia" w:ascii="宋体" w:hAnsi="宋体" w:eastAsia="方正仿宋_GBK" w:cs="方正仿宋_GBK"/>
          <w:color w:val="000000"/>
          <w:sz w:val="32"/>
          <w:szCs w:val="32"/>
          <w:highlight w:val="none"/>
        </w:rPr>
      </w:pPr>
    </w:p>
    <w:p w14:paraId="2688EDB0">
      <w:pPr>
        <w:spacing w:line="560" w:lineRule="exact"/>
        <w:ind w:firstLine="0" w:firstLineChars="0"/>
        <w:jc w:val="center"/>
        <w:rPr>
          <w:rFonts w:hint="eastAsia" w:ascii="宋体" w:hAnsi="宋体" w:eastAsia="方正小标宋_GBK" w:cs="方正小标宋_GBK"/>
          <w:b w:val="0"/>
          <w:bCs/>
          <w:color w:val="auto"/>
          <w:sz w:val="44"/>
          <w:szCs w:val="44"/>
          <w:highlight w:val="none"/>
        </w:rPr>
      </w:pPr>
      <w:r>
        <w:rPr>
          <w:rFonts w:hint="eastAsia" w:ascii="宋体" w:hAnsi="宋体" w:eastAsia="方正小标宋_GBK" w:cs="方正小标宋_GBK"/>
          <w:b w:val="0"/>
          <w:bCs/>
          <w:color w:val="auto"/>
          <w:sz w:val="44"/>
          <w:szCs w:val="44"/>
          <w:highlight w:val="none"/>
        </w:rPr>
        <w:t>草种播种量测算方法</w:t>
      </w:r>
    </w:p>
    <w:p w14:paraId="298F7CC8">
      <w:pPr>
        <w:spacing w:line="560" w:lineRule="exact"/>
        <w:ind w:firstLine="880" w:firstLineChars="200"/>
        <w:jc w:val="center"/>
        <w:rPr>
          <w:rFonts w:hint="eastAsia" w:ascii="宋体" w:hAnsi="宋体" w:eastAsia="方正公文小标宋" w:cs="方正公文小标宋"/>
          <w:b w:val="0"/>
          <w:bCs/>
          <w:color w:val="auto"/>
          <w:sz w:val="44"/>
          <w:szCs w:val="44"/>
          <w:highlight w:val="none"/>
        </w:rPr>
      </w:pPr>
    </w:p>
    <w:p w14:paraId="7F0B0B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_GBK" w:cs="方正黑体_GBK"/>
          <w:b w:val="0"/>
          <w:bCs/>
          <w:color w:val="auto"/>
          <w:sz w:val="32"/>
          <w:szCs w:val="32"/>
          <w:highlight w:val="none"/>
        </w:rPr>
      </w:pPr>
      <w:r>
        <w:rPr>
          <w:rFonts w:hint="eastAsia" w:ascii="宋体" w:hAnsi="宋体" w:eastAsia="方正黑体_GBK" w:cs="方正黑体_GBK"/>
          <w:b w:val="0"/>
          <w:bCs/>
          <w:color w:val="auto"/>
          <w:sz w:val="32"/>
          <w:szCs w:val="32"/>
          <w:highlight w:val="none"/>
        </w:rPr>
        <w:t>一、核心测算公式</w:t>
      </w:r>
    </w:p>
    <w:p w14:paraId="0A7986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播种量（</w:t>
      </w:r>
      <w:r>
        <w:rPr>
          <w:rFonts w:hint="eastAsia" w:ascii="宋体" w:hAnsi="宋体" w:eastAsia="方正仿宋_GBK" w:cs="方正仿宋_GBK"/>
          <w:b w:val="0"/>
          <w:bCs/>
          <w:color w:val="auto"/>
          <w:sz w:val="32"/>
          <w:szCs w:val="32"/>
          <w:highlight w:val="none"/>
          <w:lang w:eastAsia="zh-CN"/>
        </w:rPr>
        <w:t>千克</w:t>
      </w:r>
      <w:r>
        <w:rPr>
          <w:rFonts w:hint="eastAsia" w:ascii="宋体" w:hAnsi="宋体" w:eastAsia="方正仿宋_GBK" w:cs="方正仿宋_GBK"/>
          <w:b w:val="0"/>
          <w:bCs/>
          <w:color w:val="auto"/>
          <w:sz w:val="32"/>
          <w:szCs w:val="32"/>
          <w:highlight w:val="none"/>
        </w:rPr>
        <w:t>/亩）=（目标出苗数×千粒重）÷（发芽率×纯净度×田间出苗率×666.7×10³）</w:t>
      </w:r>
    </w:p>
    <w:p w14:paraId="0F2D36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注：666.7为1亩换算成平方米的系数，10³为单位换算系数（1</w:t>
      </w:r>
      <w:r>
        <w:rPr>
          <w:rFonts w:hint="default" w:ascii="宋体" w:hAnsi="宋体" w:eastAsia="方正仿宋_GBK" w:cs="方正仿宋_GBK"/>
          <w:b w:val="0"/>
          <w:bCs/>
          <w:color w:val="auto"/>
          <w:sz w:val="32"/>
          <w:szCs w:val="32"/>
          <w:highlight w:val="none"/>
          <w:lang w:val="en"/>
        </w:rPr>
        <w:t>千克</w:t>
      </w:r>
      <w:r>
        <w:rPr>
          <w:rFonts w:hint="eastAsia" w:ascii="宋体" w:hAnsi="宋体" w:eastAsia="方正仿宋_GBK" w:cs="方正仿宋_GBK"/>
          <w:b w:val="0"/>
          <w:bCs/>
          <w:color w:val="auto"/>
          <w:sz w:val="32"/>
          <w:szCs w:val="32"/>
          <w:highlight w:val="none"/>
        </w:rPr>
        <w:t>=10⁶粒千粒重种子，1亩=666.7</w:t>
      </w:r>
      <w:r>
        <w:rPr>
          <w:rFonts w:hint="eastAsia" w:ascii="宋体" w:hAnsi="宋体" w:eastAsia="方正仿宋_GBK" w:cs="方正仿宋_GBK"/>
          <w:b w:val="0"/>
          <w:bCs/>
          <w:color w:val="auto"/>
          <w:sz w:val="32"/>
          <w:szCs w:val="32"/>
          <w:highlight w:val="none"/>
          <w:lang w:eastAsia="zh-CN"/>
        </w:rPr>
        <w:t>平方米</w:t>
      </w:r>
      <w:r>
        <w:rPr>
          <w:rFonts w:hint="eastAsia" w:ascii="宋体" w:hAnsi="宋体" w:eastAsia="方正仿宋_GBK" w:cs="方正仿宋_GBK"/>
          <w:b w:val="0"/>
          <w:bCs/>
          <w:color w:val="auto"/>
          <w:sz w:val="32"/>
          <w:szCs w:val="32"/>
          <w:highlight w:val="none"/>
        </w:rPr>
        <w:t>，简化后系数为10³）。</w:t>
      </w:r>
    </w:p>
    <w:p w14:paraId="678A8E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_GBK" w:cs="方正黑体_GBK"/>
          <w:b w:val="0"/>
          <w:bCs/>
          <w:color w:val="auto"/>
          <w:sz w:val="32"/>
          <w:szCs w:val="32"/>
          <w:highlight w:val="none"/>
        </w:rPr>
      </w:pPr>
      <w:r>
        <w:rPr>
          <w:rFonts w:hint="eastAsia" w:ascii="宋体" w:hAnsi="宋体" w:eastAsia="方正黑体_GBK" w:cs="方正黑体_GBK"/>
          <w:b w:val="0"/>
          <w:bCs/>
          <w:color w:val="auto"/>
          <w:sz w:val="32"/>
          <w:szCs w:val="32"/>
          <w:highlight w:val="none"/>
        </w:rPr>
        <w:t>二、关键参数确定</w:t>
      </w:r>
    </w:p>
    <w:p w14:paraId="414317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一</w:t>
      </w: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rPr>
        <w:t>目标出苗数（株/亩）</w:t>
      </w:r>
    </w:p>
    <w:p w14:paraId="3D0A4B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禾本科草：13.3</w:t>
      </w:r>
      <w:r>
        <w:rPr>
          <w:rFonts w:hint="eastAsia" w:ascii="宋体" w:hAnsi="宋体" w:eastAsia="方正仿宋_GBK" w:cs="方正仿宋_GBK"/>
          <w:b w:val="0"/>
          <w:bCs/>
          <w:color w:val="auto"/>
          <w:sz w:val="32"/>
          <w:szCs w:val="32"/>
          <w:highlight w:val="none"/>
          <w:lang w:eastAsia="zh-CN"/>
        </w:rPr>
        <w:t>万—</w:t>
      </w:r>
      <w:r>
        <w:rPr>
          <w:rFonts w:hint="eastAsia" w:ascii="宋体" w:hAnsi="宋体" w:eastAsia="方正仿宋_GBK" w:cs="方正仿宋_GBK"/>
          <w:b w:val="0"/>
          <w:bCs/>
          <w:color w:val="auto"/>
          <w:sz w:val="32"/>
          <w:szCs w:val="32"/>
          <w:highlight w:val="none"/>
        </w:rPr>
        <w:t>20万株/亩（对应每平方米200</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300株）。</w:t>
      </w:r>
    </w:p>
    <w:p w14:paraId="295841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豆科草：10</w:t>
      </w:r>
      <w:r>
        <w:rPr>
          <w:rFonts w:hint="eastAsia" w:ascii="宋体" w:hAnsi="宋体" w:eastAsia="方正仿宋_GBK" w:cs="方正仿宋_GBK"/>
          <w:b w:val="0"/>
          <w:bCs/>
          <w:color w:val="auto"/>
          <w:sz w:val="32"/>
          <w:szCs w:val="32"/>
          <w:highlight w:val="none"/>
          <w:lang w:eastAsia="zh-CN"/>
        </w:rPr>
        <w:t>万—</w:t>
      </w:r>
      <w:r>
        <w:rPr>
          <w:rFonts w:hint="eastAsia" w:ascii="宋体" w:hAnsi="宋体" w:eastAsia="方正仿宋_GBK" w:cs="方正仿宋_GBK"/>
          <w:b w:val="0"/>
          <w:bCs/>
          <w:color w:val="auto"/>
          <w:sz w:val="32"/>
          <w:szCs w:val="32"/>
          <w:highlight w:val="none"/>
        </w:rPr>
        <w:t>13.3万株/亩（对应每平方米150</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200株）。</w:t>
      </w:r>
    </w:p>
    <w:p w14:paraId="35CAB1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混播草地：按单播量×混播比例分配。</w:t>
      </w:r>
    </w:p>
    <w:p w14:paraId="079D0E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二</w:t>
      </w: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rPr>
        <w:t>千粒重（</w:t>
      </w:r>
      <w:r>
        <w:rPr>
          <w:rFonts w:hint="eastAsia" w:ascii="宋体" w:hAnsi="宋体" w:eastAsia="方正楷体_GBK" w:cs="方正楷体_GBK"/>
          <w:b w:val="0"/>
          <w:bCs/>
          <w:color w:val="auto"/>
          <w:sz w:val="32"/>
          <w:szCs w:val="32"/>
          <w:highlight w:val="none"/>
          <w:lang w:eastAsia="zh-CN"/>
        </w:rPr>
        <w:t>克</w:t>
      </w:r>
      <w:r>
        <w:rPr>
          <w:rFonts w:hint="eastAsia" w:ascii="宋体" w:hAnsi="宋体" w:eastAsia="方正楷体_GBK" w:cs="方正楷体_GBK"/>
          <w:b w:val="0"/>
          <w:bCs/>
          <w:color w:val="auto"/>
          <w:sz w:val="32"/>
          <w:szCs w:val="32"/>
          <w:highlight w:val="none"/>
        </w:rPr>
        <w:t>）</w:t>
      </w:r>
    </w:p>
    <w:p w14:paraId="0CCF03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实测优先，参考值：紫花苜蓿2.0</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2.5</w:t>
      </w:r>
      <w:r>
        <w:rPr>
          <w:rFonts w:hint="eastAsia" w:ascii="宋体" w:hAnsi="宋体" w:eastAsia="方正仿宋_GBK" w:cs="方正仿宋_GBK"/>
          <w:b w:val="0"/>
          <w:bCs/>
          <w:color w:val="auto"/>
          <w:sz w:val="32"/>
          <w:szCs w:val="32"/>
          <w:highlight w:val="none"/>
          <w:lang w:eastAsia="zh-CN"/>
        </w:rPr>
        <w:t>克</w:t>
      </w:r>
      <w:r>
        <w:rPr>
          <w:rFonts w:hint="eastAsia" w:ascii="宋体" w:hAnsi="宋体" w:eastAsia="方正仿宋_GBK" w:cs="方正仿宋_GBK"/>
          <w:b w:val="0"/>
          <w:bCs/>
          <w:color w:val="auto"/>
          <w:sz w:val="32"/>
          <w:szCs w:val="32"/>
          <w:highlight w:val="none"/>
        </w:rPr>
        <w:t>，羊草2.5</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3.0</w:t>
      </w:r>
      <w:r>
        <w:rPr>
          <w:rFonts w:hint="eastAsia" w:ascii="宋体" w:hAnsi="宋体" w:eastAsia="方正仿宋_GBK" w:cs="方正仿宋_GBK"/>
          <w:b w:val="0"/>
          <w:bCs/>
          <w:color w:val="auto"/>
          <w:sz w:val="32"/>
          <w:szCs w:val="32"/>
          <w:highlight w:val="none"/>
          <w:lang w:eastAsia="zh-CN"/>
        </w:rPr>
        <w:t>克</w:t>
      </w:r>
      <w:r>
        <w:rPr>
          <w:rFonts w:hint="eastAsia" w:ascii="宋体" w:hAnsi="宋体" w:eastAsia="方正仿宋_GBK" w:cs="方正仿宋_GBK"/>
          <w:b w:val="0"/>
          <w:bCs/>
          <w:color w:val="auto"/>
          <w:sz w:val="32"/>
          <w:szCs w:val="32"/>
          <w:highlight w:val="none"/>
        </w:rPr>
        <w:t>，垂穗披碱草3.5</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4.0</w:t>
      </w:r>
      <w:r>
        <w:rPr>
          <w:rFonts w:hint="eastAsia" w:ascii="宋体" w:hAnsi="宋体" w:eastAsia="方正仿宋_GBK" w:cs="方正仿宋_GBK"/>
          <w:b w:val="0"/>
          <w:bCs/>
          <w:color w:val="auto"/>
          <w:sz w:val="32"/>
          <w:szCs w:val="32"/>
          <w:highlight w:val="none"/>
          <w:lang w:eastAsia="zh-CN"/>
        </w:rPr>
        <w:t>克</w:t>
      </w:r>
      <w:r>
        <w:rPr>
          <w:rFonts w:hint="eastAsia" w:ascii="宋体" w:hAnsi="宋体" w:eastAsia="方正仿宋_GBK" w:cs="方正仿宋_GBK"/>
          <w:b w:val="0"/>
          <w:bCs/>
          <w:color w:val="auto"/>
          <w:sz w:val="32"/>
          <w:szCs w:val="32"/>
          <w:highlight w:val="none"/>
        </w:rPr>
        <w:t>。</w:t>
      </w:r>
    </w:p>
    <w:p w14:paraId="1E00D5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三</w:t>
      </w: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rPr>
        <w:t>发芽率（%）</w:t>
      </w:r>
    </w:p>
    <w:p w14:paraId="2FE0C2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按GB/T 2930.4</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2017检测，陈种子需复检，低于60%建议更换。</w:t>
      </w:r>
    </w:p>
    <w:p w14:paraId="0944F7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四</w:t>
      </w: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rPr>
        <w:t>纯净度（%）</w:t>
      </w:r>
    </w:p>
    <w:p w14:paraId="768307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按GB/T 2930.2</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2017检测，去除杂质后纯净种子重量占比。</w:t>
      </w:r>
    </w:p>
    <w:p w14:paraId="3671F5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五</w:t>
      </w: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rPr>
        <w:t>田间出苗率（%）</w:t>
      </w:r>
    </w:p>
    <w:p w14:paraId="5F2935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禾本科草60%</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80%，豆科草50%</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70%；极端地块（干旱/盐碱）降20%</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30%，灌溉良好地块提10%</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15%。</w:t>
      </w:r>
    </w:p>
    <w:p w14:paraId="7DEA72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_GBK" w:cs="方正黑体_GBK"/>
          <w:b w:val="0"/>
          <w:bCs/>
          <w:color w:val="auto"/>
          <w:sz w:val="32"/>
          <w:szCs w:val="32"/>
          <w:highlight w:val="none"/>
        </w:rPr>
      </w:pPr>
      <w:r>
        <w:rPr>
          <w:rFonts w:hint="eastAsia" w:ascii="宋体" w:hAnsi="宋体" w:eastAsia="方正黑体_GBK" w:cs="方正黑体_GBK"/>
          <w:b w:val="0"/>
          <w:bCs/>
          <w:color w:val="auto"/>
          <w:sz w:val="32"/>
          <w:szCs w:val="32"/>
          <w:highlight w:val="none"/>
        </w:rPr>
        <w:t>三、调整系数</w:t>
      </w:r>
    </w:p>
    <w:p w14:paraId="4043C2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一</w:t>
      </w: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rPr>
        <w:t>混播</w:t>
      </w:r>
    </w:p>
    <w:p w14:paraId="64897C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各草种播种量=单播量×混播比例。</w:t>
      </w:r>
    </w:p>
    <w:p w14:paraId="0EDAC3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二</w:t>
      </w: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rPr>
        <w:t>损耗</w:t>
      </w:r>
    </w:p>
    <w:p w14:paraId="10252B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机械播种加10%</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15%，人工播种加5%</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10%。</w:t>
      </w:r>
    </w:p>
    <w:p w14:paraId="208B22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三</w:t>
      </w: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rPr>
        <w:t>气候</w:t>
      </w:r>
    </w:p>
    <w:p w14:paraId="0E2D4A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极端天气多发区加15%</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20%。</w:t>
      </w:r>
    </w:p>
    <w:p w14:paraId="5C4075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宋体" w:hAnsi="宋体" w:eastAsia="方正楷体_GBK" w:cs="方正楷体_GBK"/>
          <w:b w:val="0"/>
          <w:bCs/>
          <w:color w:val="auto"/>
          <w:sz w:val="32"/>
          <w:szCs w:val="32"/>
          <w:highlight w:val="none"/>
          <w:lang w:val="en-US" w:eastAsia="zh-CN"/>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四</w:t>
      </w: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利用</w:t>
      </w:r>
    </w:p>
    <w:p w14:paraId="708E55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宋体" w:hAnsi="宋体" w:eastAsia="方正仿宋_GBK" w:cs="方正仿宋_GBK"/>
          <w:b w:val="0"/>
          <w:bCs/>
          <w:color w:val="auto"/>
          <w:sz w:val="32"/>
          <w:szCs w:val="32"/>
          <w:highlight w:val="none"/>
          <w:lang w:val="en-US" w:eastAsia="zh-CN"/>
        </w:rPr>
      </w:pPr>
      <w:r>
        <w:rPr>
          <w:rFonts w:hint="eastAsia" w:ascii="宋体" w:hAnsi="宋体" w:eastAsia="方正仿宋_GBK" w:cs="方正仿宋_GBK"/>
          <w:b w:val="0"/>
          <w:bCs/>
          <w:color w:val="auto"/>
          <w:sz w:val="32"/>
          <w:szCs w:val="32"/>
          <w:highlight w:val="none"/>
          <w:lang w:val="en-US" w:eastAsia="zh-CN"/>
        </w:rPr>
        <w:t>放牧草地建设可食优良牧草增加10</w:t>
      </w:r>
      <w:r>
        <w:rPr>
          <w:rFonts w:hint="eastAsia" w:ascii="宋体" w:hAnsi="宋体" w:eastAsia="方正仿宋_GBK" w:cs="方正仿宋_GBK"/>
          <w:b w:val="0"/>
          <w:bCs/>
          <w:color w:val="auto"/>
          <w:sz w:val="32"/>
          <w:szCs w:val="32"/>
          <w:highlight w:val="none"/>
        </w:rPr>
        <w:t>%</w:t>
      </w:r>
      <w:r>
        <w:rPr>
          <w:rFonts w:hint="eastAsia" w:ascii="宋体" w:hAnsi="宋体" w:eastAsia="方正仿宋_GBK" w:cs="方正仿宋_GBK"/>
          <w:b w:val="0"/>
          <w:bCs/>
          <w:color w:val="auto"/>
          <w:sz w:val="32"/>
          <w:szCs w:val="32"/>
          <w:highlight w:val="none"/>
          <w:lang w:val="en-US" w:eastAsia="zh-CN"/>
        </w:rPr>
        <w:t>—20%。</w:t>
      </w:r>
    </w:p>
    <w:p w14:paraId="6CA976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_GBK" w:cs="方正黑体_GBK"/>
          <w:b w:val="0"/>
          <w:bCs/>
          <w:color w:val="auto"/>
          <w:sz w:val="32"/>
          <w:szCs w:val="32"/>
          <w:highlight w:val="none"/>
        </w:rPr>
      </w:pPr>
      <w:r>
        <w:rPr>
          <w:rFonts w:hint="eastAsia" w:ascii="宋体" w:hAnsi="宋体" w:eastAsia="方正黑体_GBK" w:cs="方正黑体_GBK"/>
          <w:b w:val="0"/>
          <w:bCs/>
          <w:color w:val="auto"/>
          <w:sz w:val="32"/>
          <w:szCs w:val="32"/>
          <w:highlight w:val="none"/>
        </w:rPr>
        <w:t>四、示例测算</w:t>
      </w:r>
    </w:p>
    <w:p w14:paraId="6C7BB1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一</w:t>
      </w: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rPr>
        <w:t>紫花苜蓿单播（机械播种）</w:t>
      </w:r>
    </w:p>
    <w:p w14:paraId="4B5676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目标出苗数12万株/亩，千粒重2.2</w:t>
      </w:r>
      <w:r>
        <w:rPr>
          <w:rFonts w:hint="eastAsia" w:ascii="宋体" w:hAnsi="宋体" w:eastAsia="方正仿宋_GBK" w:cs="方正仿宋_GBK"/>
          <w:b w:val="0"/>
          <w:bCs/>
          <w:color w:val="auto"/>
          <w:sz w:val="32"/>
          <w:szCs w:val="32"/>
          <w:highlight w:val="none"/>
          <w:lang w:eastAsia="zh-CN"/>
        </w:rPr>
        <w:t>克</w:t>
      </w:r>
      <w:r>
        <w:rPr>
          <w:rFonts w:hint="eastAsia" w:ascii="宋体" w:hAnsi="宋体" w:eastAsia="方正仿宋_GBK" w:cs="方正仿宋_GBK"/>
          <w:b w:val="0"/>
          <w:bCs/>
          <w:color w:val="auto"/>
          <w:sz w:val="32"/>
          <w:szCs w:val="32"/>
          <w:highlight w:val="none"/>
        </w:rPr>
        <w:t>，发芽率85%，纯净度90%，田间出苗率60%，损耗10%。</w:t>
      </w:r>
    </w:p>
    <w:p w14:paraId="4409E6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紫花苜蓿播种量=（12×10⁴×2.2）÷（85%×90%×60%×666.7×10³）×（1+10%）≈0.61</w:t>
      </w:r>
      <w:r>
        <w:rPr>
          <w:rFonts w:hint="eastAsia" w:ascii="宋体" w:hAnsi="宋体" w:eastAsia="方正仿宋_GBK" w:cs="方正仿宋_GBK"/>
          <w:b w:val="0"/>
          <w:bCs/>
          <w:color w:val="auto"/>
          <w:sz w:val="32"/>
          <w:szCs w:val="32"/>
          <w:highlight w:val="none"/>
          <w:lang w:val="en" w:eastAsia="zh-CN"/>
        </w:rPr>
        <w:t>千克</w:t>
      </w:r>
      <w:r>
        <w:rPr>
          <w:rFonts w:hint="eastAsia" w:ascii="宋体" w:hAnsi="宋体" w:eastAsia="方正仿宋_GBK" w:cs="方正仿宋_GBK"/>
          <w:b w:val="0"/>
          <w:bCs/>
          <w:color w:val="auto"/>
          <w:sz w:val="32"/>
          <w:szCs w:val="32"/>
          <w:highlight w:val="none"/>
        </w:rPr>
        <w:t>/亩。</w:t>
      </w:r>
    </w:p>
    <w:p w14:paraId="62C968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lang w:eastAsia="zh-CN"/>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二</w:t>
      </w:r>
      <w:r>
        <w:rPr>
          <w:rFonts w:hint="eastAsia" w:ascii="宋体" w:hAnsi="宋体" w:eastAsia="方正楷体_GBK" w:cs="方正楷体_GBK"/>
          <w:b w:val="0"/>
          <w:bCs/>
          <w:color w:val="auto"/>
          <w:sz w:val="32"/>
          <w:szCs w:val="32"/>
          <w:highlight w:val="none"/>
          <w:lang w:eastAsia="zh-CN"/>
        </w:rPr>
        <w:t>）苇状羊茅+东非狼尾草+鸭茅混播（人工播种，干旱区、坡度12—15度、</w:t>
      </w:r>
      <w:r>
        <w:rPr>
          <w:rFonts w:hint="eastAsia" w:ascii="宋体" w:hAnsi="宋体" w:eastAsia="方正楷体_GBK" w:cs="方正楷体_GBK"/>
          <w:b w:val="0"/>
          <w:bCs/>
          <w:color w:val="auto"/>
          <w:sz w:val="32"/>
          <w:szCs w:val="32"/>
          <w:highlight w:val="none"/>
          <w:lang w:val="en-US" w:eastAsia="zh-CN"/>
        </w:rPr>
        <w:t>用于生态治理</w:t>
      </w:r>
      <w:r>
        <w:rPr>
          <w:rFonts w:hint="eastAsia" w:ascii="宋体" w:hAnsi="宋体" w:eastAsia="方正楷体_GBK" w:cs="方正楷体_GBK"/>
          <w:b w:val="0"/>
          <w:bCs/>
          <w:color w:val="auto"/>
          <w:sz w:val="32"/>
          <w:szCs w:val="32"/>
          <w:highlight w:val="none"/>
          <w:lang w:eastAsia="zh-CN"/>
        </w:rPr>
        <w:t>）</w:t>
      </w:r>
    </w:p>
    <w:p w14:paraId="29A0A7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val="0"/>
          <w:bCs/>
          <w:color w:val="auto"/>
          <w:sz w:val="32"/>
          <w:szCs w:val="32"/>
          <w:highlight w:val="none"/>
        </w:rPr>
        <w:t>苇状羊茅+东非狼尾草+鸭茅</w:t>
      </w:r>
      <w:r>
        <w:rPr>
          <w:rFonts w:hint="eastAsia" w:ascii="宋体" w:hAnsi="宋体" w:eastAsia="方正仿宋_GBK" w:cs="方正仿宋_GBK"/>
          <w:b w:val="0"/>
          <w:bCs/>
          <w:color w:val="auto"/>
          <w:sz w:val="32"/>
          <w:szCs w:val="32"/>
          <w:highlight w:val="none"/>
          <w:lang w:val="en-US" w:eastAsia="zh-CN"/>
        </w:rPr>
        <w:t>混播比例</w:t>
      </w:r>
      <w:r>
        <w:rPr>
          <w:rFonts w:hint="eastAsia" w:ascii="宋体" w:hAnsi="宋体" w:eastAsia="方正仿宋_GBK" w:cs="方正仿宋_GBK"/>
          <w:b w:val="0"/>
          <w:bCs/>
          <w:color w:val="auto"/>
          <w:sz w:val="32"/>
          <w:szCs w:val="32"/>
          <w:highlight w:val="none"/>
          <w:lang w:eastAsia="zh-CN"/>
        </w:rPr>
        <w:t>5:3:2，人工播种损耗8%；干旱区田间出苗率较常规降25%，12—15度坡度无需额外降出苗率，通过用量保障成坪。</w:t>
      </w:r>
    </w:p>
    <w:p w14:paraId="4B47D4C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bCs w:val="0"/>
          <w:color w:val="auto"/>
          <w:sz w:val="32"/>
          <w:szCs w:val="32"/>
          <w:highlight w:val="none"/>
          <w:lang w:eastAsia="zh-CN"/>
        </w:rPr>
        <w:t>1.苇状羊茅。</w:t>
      </w:r>
      <w:r>
        <w:rPr>
          <w:rFonts w:hint="eastAsia" w:ascii="宋体" w:hAnsi="宋体" w:eastAsia="方正仿宋_GBK" w:cs="方正仿宋_GBK"/>
          <w:b w:val="0"/>
          <w:bCs/>
          <w:color w:val="auto"/>
          <w:sz w:val="32"/>
          <w:szCs w:val="32"/>
          <w:highlight w:val="none"/>
          <w:lang w:eastAsia="zh-CN"/>
        </w:rPr>
        <w:t>目标出苗数16万株/亩，千粒重3.0克，发芽率82%，纯净度93%，田间出苗率=75%×(1—25%)=56.25%。</w:t>
      </w:r>
    </w:p>
    <w:p w14:paraId="19B403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val="0"/>
          <w:bCs/>
          <w:color w:val="auto"/>
          <w:sz w:val="32"/>
          <w:szCs w:val="32"/>
          <w:highlight w:val="none"/>
          <w:lang w:eastAsia="zh-CN"/>
        </w:rPr>
        <w:t>苇状羊茅单播量=（16×10⁴×3.0）÷（82%×93%×56.25%×666.7×10³）≈1.82</w:t>
      </w:r>
      <w:r>
        <w:rPr>
          <w:rFonts w:hint="eastAsia" w:ascii="宋体" w:hAnsi="宋体" w:eastAsia="方正仿宋_GBK" w:cs="方正仿宋_GBK"/>
          <w:b w:val="0"/>
          <w:bCs/>
          <w:color w:val="auto"/>
          <w:sz w:val="32"/>
          <w:szCs w:val="32"/>
          <w:highlight w:val="none"/>
          <w:lang w:val="en" w:eastAsia="zh-CN"/>
        </w:rPr>
        <w:t>千克</w:t>
      </w:r>
      <w:r>
        <w:rPr>
          <w:rFonts w:hint="eastAsia" w:ascii="宋体" w:hAnsi="宋体" w:eastAsia="方正仿宋_GBK" w:cs="方正仿宋_GBK"/>
          <w:b w:val="0"/>
          <w:bCs/>
          <w:color w:val="auto"/>
          <w:sz w:val="32"/>
          <w:szCs w:val="32"/>
          <w:highlight w:val="none"/>
          <w:lang w:eastAsia="zh-CN"/>
        </w:rPr>
        <w:t>/亩；苇状羊茅混播用量=1.82×50%≈0.91</w:t>
      </w:r>
      <w:r>
        <w:rPr>
          <w:rFonts w:hint="eastAsia" w:ascii="宋体" w:hAnsi="宋体" w:eastAsia="方正仿宋_GBK" w:cs="方正仿宋_GBK"/>
          <w:b w:val="0"/>
          <w:bCs/>
          <w:color w:val="auto"/>
          <w:sz w:val="32"/>
          <w:szCs w:val="32"/>
          <w:highlight w:val="none"/>
          <w:lang w:val="en" w:eastAsia="zh-CN"/>
        </w:rPr>
        <w:t>千克</w:t>
      </w:r>
      <w:r>
        <w:rPr>
          <w:rFonts w:hint="eastAsia" w:ascii="宋体" w:hAnsi="宋体" w:eastAsia="方正仿宋_GBK" w:cs="方正仿宋_GBK"/>
          <w:b w:val="0"/>
          <w:bCs/>
          <w:color w:val="auto"/>
          <w:sz w:val="32"/>
          <w:szCs w:val="32"/>
          <w:highlight w:val="none"/>
          <w:lang w:eastAsia="zh-CN"/>
        </w:rPr>
        <w:t>/亩。</w:t>
      </w:r>
    </w:p>
    <w:p w14:paraId="486EC7A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bCs w:val="0"/>
          <w:color w:val="auto"/>
          <w:sz w:val="32"/>
          <w:szCs w:val="32"/>
          <w:highlight w:val="none"/>
          <w:lang w:eastAsia="zh-CN"/>
        </w:rPr>
        <w:t>2.东非狼尾草。</w:t>
      </w:r>
      <w:r>
        <w:rPr>
          <w:rFonts w:hint="eastAsia" w:ascii="宋体" w:hAnsi="宋体" w:eastAsia="方正仿宋_GBK" w:cs="方正仿宋_GBK"/>
          <w:b w:val="0"/>
          <w:bCs/>
          <w:color w:val="auto"/>
          <w:sz w:val="32"/>
          <w:szCs w:val="32"/>
          <w:highlight w:val="none"/>
          <w:lang w:eastAsia="zh-CN"/>
        </w:rPr>
        <w:t>目标出苗数14万株/亩，千粒重3.2g，发芽率80%，纯净度91%，田间出苗率=70%×(1—25%)=52.5%。</w:t>
      </w:r>
    </w:p>
    <w:p w14:paraId="73C279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val="0"/>
          <w:bCs/>
          <w:color w:val="auto"/>
          <w:sz w:val="32"/>
          <w:szCs w:val="32"/>
          <w:highlight w:val="none"/>
          <w:lang w:eastAsia="zh-CN"/>
        </w:rPr>
        <w:t>东非狼尾草单播量=（14×10⁴×3.2）÷（80%×91%×52.5%×666.7×10³）≈1.38</w:t>
      </w:r>
      <w:r>
        <w:rPr>
          <w:rFonts w:hint="default" w:ascii="宋体" w:hAnsi="宋体" w:eastAsia="方正仿宋_GBK" w:cs="方正仿宋_GBK"/>
          <w:b w:val="0"/>
          <w:bCs/>
          <w:color w:val="auto"/>
          <w:sz w:val="32"/>
          <w:szCs w:val="32"/>
          <w:highlight w:val="none"/>
          <w:lang w:val="en" w:eastAsia="zh-CN"/>
        </w:rPr>
        <w:t>千克</w:t>
      </w:r>
      <w:r>
        <w:rPr>
          <w:rFonts w:hint="eastAsia" w:ascii="宋体" w:hAnsi="宋体" w:eastAsia="方正仿宋_GBK" w:cs="方正仿宋_GBK"/>
          <w:b w:val="0"/>
          <w:bCs/>
          <w:color w:val="auto"/>
          <w:sz w:val="32"/>
          <w:szCs w:val="32"/>
          <w:highlight w:val="none"/>
          <w:lang w:eastAsia="zh-CN"/>
        </w:rPr>
        <w:t>/亩；东非狼尾草混播用量=1.38×30%≈0.41</w:t>
      </w:r>
      <w:r>
        <w:rPr>
          <w:rFonts w:hint="default" w:ascii="宋体" w:hAnsi="宋体" w:eastAsia="方正仿宋_GBK" w:cs="方正仿宋_GBK"/>
          <w:b w:val="0"/>
          <w:bCs/>
          <w:color w:val="auto"/>
          <w:sz w:val="32"/>
          <w:szCs w:val="32"/>
          <w:highlight w:val="none"/>
          <w:lang w:val="en" w:eastAsia="zh-CN"/>
        </w:rPr>
        <w:t>千克</w:t>
      </w:r>
      <w:r>
        <w:rPr>
          <w:rFonts w:hint="eastAsia" w:ascii="宋体" w:hAnsi="宋体" w:eastAsia="方正仿宋_GBK" w:cs="方正仿宋_GBK"/>
          <w:b w:val="0"/>
          <w:bCs/>
          <w:color w:val="auto"/>
          <w:sz w:val="32"/>
          <w:szCs w:val="32"/>
          <w:highlight w:val="none"/>
          <w:lang w:eastAsia="zh-CN"/>
        </w:rPr>
        <w:t>/亩。</w:t>
      </w:r>
    </w:p>
    <w:p w14:paraId="19391AD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bCs w:val="0"/>
          <w:color w:val="auto"/>
          <w:sz w:val="32"/>
          <w:szCs w:val="32"/>
          <w:highlight w:val="none"/>
          <w:lang w:eastAsia="zh-CN"/>
        </w:rPr>
        <w:t>3.鸭茅。</w:t>
      </w:r>
      <w:r>
        <w:rPr>
          <w:rFonts w:hint="eastAsia" w:ascii="宋体" w:hAnsi="宋体" w:eastAsia="方正仿宋_GBK" w:cs="方正仿宋_GBK"/>
          <w:b w:val="0"/>
          <w:bCs/>
          <w:color w:val="auto"/>
          <w:sz w:val="32"/>
          <w:szCs w:val="32"/>
          <w:highlight w:val="none"/>
          <w:lang w:eastAsia="zh-CN"/>
        </w:rPr>
        <w:t>目标出苗数12万株/亩，千粒重2.8g，发芽率85%，纯净度92%，田间出苗率=72%×(1—25%)=54%。</w:t>
      </w:r>
    </w:p>
    <w:p w14:paraId="650DD5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val="0"/>
          <w:bCs/>
          <w:color w:val="auto"/>
          <w:sz w:val="32"/>
          <w:szCs w:val="32"/>
          <w:highlight w:val="none"/>
          <w:lang w:eastAsia="zh-CN"/>
        </w:rPr>
        <w:t>鸭茅单播量=（12×10⁴×2.8）÷（85%×92%×54%×666.7×10³）≈1.03</w:t>
      </w:r>
      <w:r>
        <w:rPr>
          <w:rFonts w:hint="default" w:ascii="宋体" w:hAnsi="宋体" w:eastAsia="方正仿宋_GBK" w:cs="方正仿宋_GBK"/>
          <w:b w:val="0"/>
          <w:bCs/>
          <w:color w:val="auto"/>
          <w:sz w:val="32"/>
          <w:szCs w:val="32"/>
          <w:highlight w:val="none"/>
          <w:lang w:val="en" w:eastAsia="zh-CN"/>
        </w:rPr>
        <w:t>千克</w:t>
      </w:r>
      <w:r>
        <w:rPr>
          <w:rFonts w:hint="eastAsia" w:ascii="宋体" w:hAnsi="宋体" w:eastAsia="方正仿宋_GBK" w:cs="方正仿宋_GBK"/>
          <w:b w:val="0"/>
          <w:bCs/>
          <w:color w:val="auto"/>
          <w:sz w:val="32"/>
          <w:szCs w:val="32"/>
          <w:highlight w:val="none"/>
          <w:lang w:eastAsia="zh-CN"/>
        </w:rPr>
        <w:t>/亩；鸭茅混播用量=1.03×20%≈0.21</w:t>
      </w:r>
      <w:r>
        <w:rPr>
          <w:rFonts w:hint="default" w:ascii="宋体" w:hAnsi="宋体" w:eastAsia="方正仿宋_GBK" w:cs="方正仿宋_GBK"/>
          <w:b w:val="0"/>
          <w:bCs/>
          <w:color w:val="auto"/>
          <w:sz w:val="32"/>
          <w:szCs w:val="32"/>
          <w:highlight w:val="none"/>
          <w:lang w:val="en" w:eastAsia="zh-CN"/>
        </w:rPr>
        <w:t>千克</w:t>
      </w:r>
      <w:r>
        <w:rPr>
          <w:rFonts w:hint="eastAsia" w:ascii="宋体" w:hAnsi="宋体" w:eastAsia="方正仿宋_GBK" w:cs="方正仿宋_GBK"/>
          <w:b w:val="0"/>
          <w:bCs/>
          <w:color w:val="auto"/>
          <w:sz w:val="32"/>
          <w:szCs w:val="32"/>
          <w:highlight w:val="none"/>
          <w:lang w:eastAsia="zh-CN"/>
        </w:rPr>
        <w:t>/亩。</w:t>
      </w:r>
    </w:p>
    <w:p w14:paraId="526AC6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val="0"/>
          <w:bCs/>
          <w:color w:val="auto"/>
          <w:sz w:val="32"/>
          <w:szCs w:val="32"/>
          <w:highlight w:val="none"/>
          <w:lang w:eastAsia="zh-CN"/>
        </w:rPr>
        <w:t>总播种量（含损耗）=（0.91+0.41+0.21）×(1+8%)≈1.67</w:t>
      </w:r>
      <w:r>
        <w:rPr>
          <w:rFonts w:hint="default" w:ascii="宋体" w:hAnsi="宋体" w:eastAsia="方正仿宋_GBK" w:cs="方正仿宋_GBK"/>
          <w:b w:val="0"/>
          <w:bCs/>
          <w:color w:val="auto"/>
          <w:sz w:val="32"/>
          <w:szCs w:val="32"/>
          <w:highlight w:val="none"/>
          <w:lang w:val="en" w:eastAsia="zh-CN"/>
        </w:rPr>
        <w:t>千克</w:t>
      </w:r>
      <w:r>
        <w:rPr>
          <w:rFonts w:hint="eastAsia" w:ascii="宋体" w:hAnsi="宋体" w:eastAsia="方正仿宋_GBK" w:cs="方正仿宋_GBK"/>
          <w:b w:val="0"/>
          <w:bCs/>
          <w:color w:val="auto"/>
          <w:sz w:val="32"/>
          <w:szCs w:val="32"/>
          <w:highlight w:val="none"/>
          <w:lang w:eastAsia="zh-CN"/>
        </w:rPr>
        <w:t>/亩。</w:t>
      </w:r>
    </w:p>
    <w:p w14:paraId="70EEF8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b w:val="0"/>
          <w:bCs/>
          <w:color w:val="auto"/>
          <w:sz w:val="32"/>
          <w:szCs w:val="32"/>
          <w:highlight w:val="none"/>
          <w:lang w:eastAsia="zh-CN"/>
        </w:rPr>
      </w:pPr>
      <w:r>
        <w:rPr>
          <w:rFonts w:hint="eastAsia" w:ascii="宋体" w:hAnsi="宋体"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val="en-US" w:eastAsia="zh-CN"/>
        </w:rPr>
        <w:t>三</w:t>
      </w:r>
      <w:r>
        <w:rPr>
          <w:rFonts w:hint="eastAsia" w:ascii="宋体" w:hAnsi="宋体" w:eastAsia="方正楷体_GBK" w:cs="方正楷体_GBK"/>
          <w:b w:val="0"/>
          <w:bCs/>
          <w:color w:val="auto"/>
          <w:sz w:val="32"/>
          <w:szCs w:val="32"/>
          <w:highlight w:val="none"/>
          <w:lang w:eastAsia="zh-CN"/>
        </w:rPr>
        <w:t>）苇状羊茅</w:t>
      </w:r>
      <w:r>
        <w:rPr>
          <w:rFonts w:hint="eastAsia" w:ascii="方正楷体_GBK" w:hAnsi="方正楷体_GBK"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eastAsia="zh-CN"/>
        </w:rPr>
        <w:t>东非狼尾草</w:t>
      </w:r>
      <w:r>
        <w:rPr>
          <w:rFonts w:hint="eastAsia" w:ascii="方正楷体_GBK" w:hAnsi="方正楷体_GBK" w:eastAsia="方正楷体_GBK" w:cs="方正楷体_GBK"/>
          <w:b w:val="0"/>
          <w:bCs/>
          <w:color w:val="auto"/>
          <w:sz w:val="32"/>
          <w:szCs w:val="32"/>
          <w:highlight w:val="none"/>
          <w:lang w:eastAsia="zh-CN"/>
        </w:rPr>
        <w:t>+</w:t>
      </w:r>
      <w:r>
        <w:rPr>
          <w:rFonts w:hint="eastAsia" w:ascii="宋体" w:hAnsi="宋体" w:eastAsia="方正楷体_GBK" w:cs="方正楷体_GBK"/>
          <w:b w:val="0"/>
          <w:bCs/>
          <w:color w:val="auto"/>
          <w:sz w:val="32"/>
          <w:szCs w:val="32"/>
          <w:highlight w:val="none"/>
          <w:lang w:eastAsia="zh-CN"/>
        </w:rPr>
        <w:t>鸭茅混播（人工播种，干旱区、坡度12—15度、</w:t>
      </w:r>
      <w:r>
        <w:rPr>
          <w:rFonts w:hint="eastAsia" w:ascii="宋体" w:hAnsi="宋体" w:eastAsia="方正楷体_GBK" w:cs="方正楷体_GBK"/>
          <w:b w:val="0"/>
          <w:bCs/>
          <w:color w:val="auto"/>
          <w:sz w:val="32"/>
          <w:szCs w:val="32"/>
          <w:highlight w:val="none"/>
          <w:lang w:val="en-US" w:eastAsia="zh-CN"/>
        </w:rPr>
        <w:t>用于放牧</w:t>
      </w:r>
      <w:r>
        <w:rPr>
          <w:rFonts w:hint="eastAsia" w:ascii="宋体" w:hAnsi="宋体" w:eastAsia="方正楷体_GBK" w:cs="方正楷体_GBK"/>
          <w:b w:val="0"/>
          <w:bCs/>
          <w:color w:val="auto"/>
          <w:sz w:val="32"/>
          <w:szCs w:val="32"/>
          <w:highlight w:val="none"/>
          <w:lang w:eastAsia="zh-CN"/>
        </w:rPr>
        <w:t>）</w:t>
      </w:r>
    </w:p>
    <w:p w14:paraId="3988F0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lang w:val="en-US" w:eastAsia="zh-CN"/>
        </w:rPr>
        <w:t>混播</w:t>
      </w:r>
      <w:r>
        <w:rPr>
          <w:rFonts w:hint="eastAsia" w:ascii="宋体" w:hAnsi="宋体" w:eastAsia="方正仿宋_GBK" w:cs="方正仿宋_GBK"/>
          <w:b w:val="0"/>
          <w:bCs/>
          <w:color w:val="auto"/>
          <w:sz w:val="32"/>
          <w:szCs w:val="32"/>
          <w:highlight w:val="none"/>
        </w:rPr>
        <w:t>苇状羊茅+东非狼尾草+鸭茅</w:t>
      </w:r>
      <w:r>
        <w:rPr>
          <w:rFonts w:hint="eastAsia" w:ascii="宋体" w:hAnsi="宋体" w:eastAsia="方正仿宋_GBK" w:cs="方正仿宋_GBK"/>
          <w:b w:val="0"/>
          <w:bCs/>
          <w:color w:val="auto"/>
          <w:sz w:val="32"/>
          <w:szCs w:val="32"/>
          <w:highlight w:val="none"/>
          <w:lang w:val="en-US" w:eastAsia="zh-CN"/>
        </w:rPr>
        <w:t>混播比例</w:t>
      </w:r>
      <w:r>
        <w:rPr>
          <w:rFonts w:hint="eastAsia" w:ascii="宋体" w:hAnsi="宋体" w:eastAsia="方正仿宋_GBK" w:cs="方正仿宋_GBK"/>
          <w:b w:val="0"/>
          <w:bCs/>
          <w:color w:val="auto"/>
          <w:sz w:val="32"/>
          <w:szCs w:val="32"/>
          <w:highlight w:val="none"/>
        </w:rPr>
        <w:t>3:3:4，种植面积10亩（约6667</w:t>
      </w:r>
      <w:r>
        <w:rPr>
          <w:rFonts w:hint="default" w:ascii="宋体" w:hAnsi="宋体" w:eastAsia="方正仿宋_GBK" w:cs="方正仿宋_GBK"/>
          <w:b w:val="0"/>
          <w:bCs/>
          <w:color w:val="auto"/>
          <w:sz w:val="32"/>
          <w:szCs w:val="32"/>
          <w:highlight w:val="none"/>
          <w:lang w:val="en"/>
        </w:rPr>
        <w:t>平方米</w:t>
      </w:r>
      <w:r>
        <w:rPr>
          <w:rFonts w:hint="eastAsia" w:ascii="宋体" w:hAnsi="宋体" w:eastAsia="方正仿宋_GBK" w:cs="方正仿宋_GBK"/>
          <w:b w:val="0"/>
          <w:bCs/>
          <w:color w:val="auto"/>
          <w:sz w:val="32"/>
          <w:szCs w:val="32"/>
          <w:highlight w:val="none"/>
        </w:rPr>
        <w:t>），中等放牧强度（每公顷载畜4头）需提高20%用种量保障再生，人工播种损耗8%。</w:t>
      </w:r>
    </w:p>
    <w:p w14:paraId="6822E3B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bCs w:val="0"/>
          <w:color w:val="auto"/>
          <w:sz w:val="32"/>
          <w:szCs w:val="32"/>
          <w:highlight w:val="none"/>
          <w:lang w:val="en-US" w:eastAsia="zh-CN"/>
        </w:rPr>
        <w:t>1.</w:t>
      </w:r>
      <w:r>
        <w:rPr>
          <w:rFonts w:hint="eastAsia" w:ascii="宋体" w:hAnsi="宋体" w:eastAsia="方正仿宋_GBK" w:cs="方正仿宋_GBK"/>
          <w:b/>
          <w:bCs w:val="0"/>
          <w:color w:val="auto"/>
          <w:sz w:val="32"/>
          <w:szCs w:val="32"/>
          <w:highlight w:val="none"/>
        </w:rPr>
        <w:t>苇状羊茅</w:t>
      </w:r>
      <w:r>
        <w:rPr>
          <w:rFonts w:hint="eastAsia" w:ascii="宋体" w:hAnsi="宋体" w:eastAsia="方正仿宋_GBK" w:cs="方正仿宋_GBK"/>
          <w:b/>
          <w:bCs w:val="0"/>
          <w:color w:val="auto"/>
          <w:sz w:val="32"/>
          <w:szCs w:val="32"/>
          <w:highlight w:val="none"/>
          <w:lang w:eastAsia="zh-CN"/>
        </w:rPr>
        <w:t>。</w:t>
      </w:r>
      <w:r>
        <w:rPr>
          <w:rFonts w:hint="eastAsia" w:ascii="宋体" w:hAnsi="宋体" w:eastAsia="方正仿宋_GBK" w:cs="方正仿宋_GBK"/>
          <w:b w:val="0"/>
          <w:bCs/>
          <w:color w:val="auto"/>
          <w:sz w:val="32"/>
          <w:szCs w:val="32"/>
          <w:highlight w:val="none"/>
        </w:rPr>
        <w:t>目标出苗数14万株/亩，千粒重3.0</w:t>
      </w:r>
      <w:r>
        <w:rPr>
          <w:rFonts w:hint="eastAsia" w:ascii="宋体" w:hAnsi="宋体" w:eastAsia="方正仿宋_GBK" w:cs="方正仿宋_GBK"/>
          <w:b w:val="0"/>
          <w:bCs/>
          <w:color w:val="auto"/>
          <w:sz w:val="32"/>
          <w:szCs w:val="32"/>
          <w:highlight w:val="none"/>
          <w:lang w:eastAsia="zh-CN"/>
        </w:rPr>
        <w:t>克</w:t>
      </w:r>
      <w:r>
        <w:rPr>
          <w:rFonts w:hint="eastAsia" w:ascii="宋体" w:hAnsi="宋体" w:eastAsia="方正仿宋_GBK" w:cs="方正仿宋_GBK"/>
          <w:b w:val="0"/>
          <w:bCs/>
          <w:color w:val="auto"/>
          <w:sz w:val="32"/>
          <w:szCs w:val="32"/>
          <w:highlight w:val="none"/>
        </w:rPr>
        <w:t>，发芽率82%，纯净度93%，半干旱区田间出苗率56%</w:t>
      </w:r>
      <w:r>
        <w:rPr>
          <w:rFonts w:hint="eastAsia" w:ascii="宋体" w:hAnsi="宋体" w:eastAsia="方正仿宋_GBK" w:cs="方正仿宋_GBK"/>
          <w:b w:val="0"/>
          <w:bCs/>
          <w:color w:val="auto"/>
          <w:sz w:val="32"/>
          <w:szCs w:val="32"/>
          <w:highlight w:val="none"/>
          <w:lang w:eastAsia="zh-CN"/>
        </w:rPr>
        <w:t>。</w:t>
      </w:r>
    </w:p>
    <w:p w14:paraId="7A17E4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val="0"/>
          <w:bCs/>
          <w:color w:val="auto"/>
          <w:sz w:val="32"/>
          <w:szCs w:val="32"/>
          <w:highlight w:val="none"/>
        </w:rPr>
        <w:t>苇状羊茅单播量=（14×10⁴×3.0）÷（82%×93%×56%×666.7×10³）≈1.36</w:t>
      </w:r>
      <w:r>
        <w:rPr>
          <w:rFonts w:hint="default" w:ascii="宋体" w:hAnsi="宋体" w:eastAsia="方正仿宋_GBK" w:cs="方正仿宋_GBK"/>
          <w:b w:val="0"/>
          <w:bCs/>
          <w:color w:val="auto"/>
          <w:sz w:val="32"/>
          <w:szCs w:val="32"/>
          <w:highlight w:val="none"/>
          <w:lang w:val="en"/>
        </w:rPr>
        <w:t>千克</w:t>
      </w:r>
      <w:r>
        <w:rPr>
          <w:rFonts w:hint="eastAsia" w:ascii="宋体" w:hAnsi="宋体" w:eastAsia="方正仿宋_GBK" w:cs="方正仿宋_GBK"/>
          <w:b w:val="0"/>
          <w:bCs/>
          <w:color w:val="auto"/>
          <w:sz w:val="32"/>
          <w:szCs w:val="32"/>
          <w:highlight w:val="none"/>
        </w:rPr>
        <w:t>/亩；苇状羊茅</w:t>
      </w:r>
      <w:r>
        <w:rPr>
          <w:rFonts w:hint="eastAsia" w:ascii="宋体" w:hAnsi="宋体" w:eastAsia="方正仿宋_GBK" w:cs="方正仿宋_GBK"/>
          <w:b w:val="0"/>
          <w:bCs/>
          <w:color w:val="auto"/>
          <w:sz w:val="32"/>
          <w:szCs w:val="32"/>
          <w:highlight w:val="none"/>
          <w:lang w:val="en-US" w:eastAsia="zh-CN"/>
        </w:rPr>
        <w:t>混播量</w:t>
      </w:r>
      <w:r>
        <w:rPr>
          <w:rFonts w:hint="eastAsia" w:ascii="宋体" w:hAnsi="宋体" w:eastAsia="方正仿宋_GBK" w:cs="方正仿宋_GBK"/>
          <w:b w:val="0"/>
          <w:bCs/>
          <w:color w:val="auto"/>
          <w:sz w:val="32"/>
          <w:szCs w:val="32"/>
          <w:highlight w:val="none"/>
        </w:rPr>
        <w:t>=1.36×30%×（1+20%）≈0.49</w:t>
      </w:r>
      <w:r>
        <w:rPr>
          <w:rFonts w:hint="default" w:ascii="宋体" w:hAnsi="宋体" w:eastAsia="方正仿宋_GBK" w:cs="方正仿宋_GBK"/>
          <w:b w:val="0"/>
          <w:bCs/>
          <w:color w:val="auto"/>
          <w:sz w:val="32"/>
          <w:szCs w:val="32"/>
          <w:highlight w:val="none"/>
          <w:lang w:val="en"/>
        </w:rPr>
        <w:t>千克</w:t>
      </w:r>
      <w:r>
        <w:rPr>
          <w:rFonts w:hint="eastAsia" w:ascii="宋体" w:hAnsi="宋体" w:eastAsia="方正仿宋_GBK" w:cs="方正仿宋_GBK"/>
          <w:b w:val="0"/>
          <w:bCs/>
          <w:color w:val="auto"/>
          <w:sz w:val="32"/>
          <w:szCs w:val="32"/>
          <w:highlight w:val="none"/>
        </w:rPr>
        <w:t>/亩</w:t>
      </w:r>
      <w:r>
        <w:rPr>
          <w:rFonts w:hint="eastAsia" w:ascii="宋体" w:hAnsi="宋体" w:eastAsia="方正仿宋_GBK" w:cs="方正仿宋_GBK"/>
          <w:b w:val="0"/>
          <w:bCs/>
          <w:color w:val="auto"/>
          <w:sz w:val="32"/>
          <w:szCs w:val="32"/>
          <w:highlight w:val="none"/>
          <w:lang w:eastAsia="zh-CN"/>
        </w:rPr>
        <w:t>。</w:t>
      </w:r>
    </w:p>
    <w:p w14:paraId="7AD8746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bCs w:val="0"/>
          <w:color w:val="auto"/>
          <w:sz w:val="32"/>
          <w:szCs w:val="32"/>
          <w:highlight w:val="none"/>
          <w:lang w:val="en-US" w:eastAsia="zh-CN"/>
        </w:rPr>
        <w:t>2.</w:t>
      </w:r>
      <w:r>
        <w:rPr>
          <w:rFonts w:hint="eastAsia" w:ascii="宋体" w:hAnsi="宋体" w:eastAsia="方正仿宋_GBK" w:cs="方正仿宋_GBK"/>
          <w:b/>
          <w:bCs w:val="0"/>
          <w:color w:val="auto"/>
          <w:sz w:val="32"/>
          <w:szCs w:val="32"/>
          <w:highlight w:val="none"/>
        </w:rPr>
        <w:t>东非狼尾草</w:t>
      </w:r>
      <w:r>
        <w:rPr>
          <w:rFonts w:hint="eastAsia" w:ascii="宋体" w:hAnsi="宋体" w:eastAsia="方正仿宋_GBK" w:cs="方正仿宋_GBK"/>
          <w:b/>
          <w:bCs w:val="0"/>
          <w:color w:val="auto"/>
          <w:sz w:val="32"/>
          <w:szCs w:val="32"/>
          <w:highlight w:val="none"/>
          <w:lang w:eastAsia="zh-CN"/>
        </w:rPr>
        <w:t>。</w:t>
      </w:r>
      <w:r>
        <w:rPr>
          <w:rFonts w:hint="eastAsia" w:ascii="宋体" w:hAnsi="宋体" w:eastAsia="方正仿宋_GBK" w:cs="方正仿宋_GBK"/>
          <w:b w:val="0"/>
          <w:bCs/>
          <w:color w:val="auto"/>
          <w:sz w:val="32"/>
          <w:szCs w:val="32"/>
          <w:highlight w:val="none"/>
        </w:rPr>
        <w:t>目标出苗数12万株/亩，千粒重3.2</w:t>
      </w:r>
      <w:r>
        <w:rPr>
          <w:rFonts w:hint="eastAsia" w:ascii="宋体" w:hAnsi="宋体" w:eastAsia="方正仿宋_GBK" w:cs="方正仿宋_GBK"/>
          <w:b w:val="0"/>
          <w:bCs/>
          <w:color w:val="auto"/>
          <w:sz w:val="32"/>
          <w:szCs w:val="32"/>
          <w:highlight w:val="none"/>
          <w:lang w:eastAsia="zh-CN"/>
        </w:rPr>
        <w:t>克</w:t>
      </w:r>
      <w:r>
        <w:rPr>
          <w:rFonts w:hint="eastAsia" w:ascii="宋体" w:hAnsi="宋体" w:eastAsia="方正仿宋_GBK" w:cs="方正仿宋_GBK"/>
          <w:b w:val="0"/>
          <w:bCs/>
          <w:color w:val="auto"/>
          <w:sz w:val="32"/>
          <w:szCs w:val="32"/>
          <w:highlight w:val="none"/>
        </w:rPr>
        <w:t>，发芽率80%，纯净度91%，半干旱区田间出苗率52%</w:t>
      </w:r>
      <w:r>
        <w:rPr>
          <w:rFonts w:hint="eastAsia" w:ascii="宋体" w:hAnsi="宋体" w:eastAsia="方正仿宋_GBK" w:cs="方正仿宋_GBK"/>
          <w:b w:val="0"/>
          <w:bCs/>
          <w:color w:val="auto"/>
          <w:sz w:val="32"/>
          <w:szCs w:val="32"/>
          <w:highlight w:val="none"/>
          <w:lang w:eastAsia="zh-CN"/>
        </w:rPr>
        <w:t>。</w:t>
      </w:r>
    </w:p>
    <w:p w14:paraId="5A03DC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lang w:eastAsia="zh-CN"/>
        </w:rPr>
      </w:pPr>
      <w:r>
        <w:rPr>
          <w:rFonts w:hint="eastAsia" w:ascii="宋体" w:hAnsi="宋体" w:eastAsia="方正仿宋_GBK" w:cs="方正仿宋_GBK"/>
          <w:b w:val="0"/>
          <w:bCs/>
          <w:color w:val="auto"/>
          <w:sz w:val="32"/>
          <w:szCs w:val="32"/>
          <w:highlight w:val="none"/>
        </w:rPr>
        <w:t>东非狼尾草单播量=（12×10⁴×3.2）÷（80%×91%×52%×666.7×10³）≈1.52</w:t>
      </w:r>
      <w:r>
        <w:rPr>
          <w:rFonts w:hint="default" w:ascii="宋体" w:hAnsi="宋体" w:eastAsia="方正仿宋_GBK" w:cs="方正仿宋_GBK"/>
          <w:b w:val="0"/>
          <w:bCs/>
          <w:color w:val="auto"/>
          <w:sz w:val="32"/>
          <w:szCs w:val="32"/>
          <w:highlight w:val="none"/>
          <w:lang w:val="en"/>
        </w:rPr>
        <w:t>千克</w:t>
      </w:r>
      <w:r>
        <w:rPr>
          <w:rFonts w:hint="eastAsia" w:ascii="宋体" w:hAnsi="宋体" w:eastAsia="方正仿宋_GBK" w:cs="方正仿宋_GBK"/>
          <w:b w:val="0"/>
          <w:bCs/>
          <w:color w:val="auto"/>
          <w:sz w:val="32"/>
          <w:szCs w:val="32"/>
          <w:highlight w:val="none"/>
        </w:rPr>
        <w:t>/亩；东非狼尾草</w:t>
      </w:r>
      <w:r>
        <w:rPr>
          <w:rFonts w:hint="eastAsia" w:ascii="宋体" w:hAnsi="宋体" w:eastAsia="方正仿宋_GBK" w:cs="方正仿宋_GBK"/>
          <w:b w:val="0"/>
          <w:bCs/>
          <w:color w:val="auto"/>
          <w:sz w:val="32"/>
          <w:szCs w:val="32"/>
          <w:highlight w:val="none"/>
          <w:lang w:val="en-US" w:eastAsia="zh-CN"/>
        </w:rPr>
        <w:t>混播量</w:t>
      </w:r>
      <w:r>
        <w:rPr>
          <w:rFonts w:hint="eastAsia" w:ascii="宋体" w:hAnsi="宋体" w:eastAsia="方正仿宋_GBK" w:cs="方正仿宋_GBK"/>
          <w:b w:val="0"/>
          <w:bCs/>
          <w:color w:val="auto"/>
          <w:sz w:val="32"/>
          <w:szCs w:val="32"/>
          <w:highlight w:val="none"/>
        </w:rPr>
        <w:t>=1.52×30%×（1+20%）≈0.55</w:t>
      </w:r>
      <w:r>
        <w:rPr>
          <w:rFonts w:hint="default" w:ascii="宋体" w:hAnsi="宋体" w:eastAsia="方正仿宋_GBK" w:cs="方正仿宋_GBK"/>
          <w:b w:val="0"/>
          <w:bCs/>
          <w:color w:val="auto"/>
          <w:sz w:val="32"/>
          <w:szCs w:val="32"/>
          <w:highlight w:val="none"/>
          <w:lang w:val="en"/>
        </w:rPr>
        <w:t>千克</w:t>
      </w:r>
      <w:r>
        <w:rPr>
          <w:rFonts w:hint="eastAsia" w:ascii="宋体" w:hAnsi="宋体" w:eastAsia="方正仿宋_GBK" w:cs="方正仿宋_GBK"/>
          <w:b w:val="0"/>
          <w:bCs/>
          <w:color w:val="auto"/>
          <w:sz w:val="32"/>
          <w:szCs w:val="32"/>
          <w:highlight w:val="none"/>
        </w:rPr>
        <w:t>/亩</w:t>
      </w:r>
      <w:r>
        <w:rPr>
          <w:rFonts w:hint="eastAsia" w:ascii="宋体" w:hAnsi="宋体" w:eastAsia="方正仿宋_GBK" w:cs="方正仿宋_GBK"/>
          <w:b w:val="0"/>
          <w:bCs/>
          <w:color w:val="auto"/>
          <w:sz w:val="32"/>
          <w:szCs w:val="32"/>
          <w:highlight w:val="none"/>
          <w:lang w:eastAsia="zh-CN"/>
        </w:rPr>
        <w:t>。</w:t>
      </w:r>
    </w:p>
    <w:p w14:paraId="5E1D3DD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bCs w:val="0"/>
          <w:color w:val="auto"/>
          <w:sz w:val="32"/>
          <w:szCs w:val="32"/>
          <w:highlight w:val="none"/>
          <w:lang w:val="en-US" w:eastAsia="zh-CN"/>
        </w:rPr>
        <w:t>3.</w:t>
      </w:r>
      <w:r>
        <w:rPr>
          <w:rFonts w:hint="eastAsia" w:ascii="宋体" w:hAnsi="宋体" w:eastAsia="方正仿宋_GBK" w:cs="方正仿宋_GBK"/>
          <w:b/>
          <w:bCs w:val="0"/>
          <w:color w:val="auto"/>
          <w:sz w:val="32"/>
          <w:szCs w:val="32"/>
          <w:highlight w:val="none"/>
        </w:rPr>
        <w:t>鸭茅</w:t>
      </w:r>
      <w:r>
        <w:rPr>
          <w:rFonts w:hint="eastAsia" w:ascii="宋体" w:hAnsi="宋体" w:eastAsia="方正仿宋_GBK" w:cs="方正仿宋_GBK"/>
          <w:b/>
          <w:bCs w:val="0"/>
          <w:color w:val="auto"/>
          <w:sz w:val="32"/>
          <w:szCs w:val="32"/>
          <w:highlight w:val="none"/>
          <w:lang w:eastAsia="zh-CN"/>
        </w:rPr>
        <w:t>。</w:t>
      </w:r>
      <w:r>
        <w:rPr>
          <w:rFonts w:hint="eastAsia" w:ascii="宋体" w:hAnsi="宋体" w:eastAsia="方正仿宋_GBK" w:cs="方正仿宋_GBK"/>
          <w:b w:val="0"/>
          <w:bCs/>
          <w:color w:val="auto"/>
          <w:sz w:val="32"/>
          <w:szCs w:val="32"/>
          <w:highlight w:val="none"/>
        </w:rPr>
        <w:t>目标出苗数13万株/亩，千粒重2.8</w:t>
      </w:r>
      <w:r>
        <w:rPr>
          <w:rFonts w:hint="eastAsia" w:ascii="宋体" w:hAnsi="宋体" w:eastAsia="方正仿宋_GBK" w:cs="方正仿宋_GBK"/>
          <w:b w:val="0"/>
          <w:bCs/>
          <w:color w:val="auto"/>
          <w:sz w:val="32"/>
          <w:szCs w:val="32"/>
          <w:highlight w:val="none"/>
          <w:lang w:eastAsia="zh-CN"/>
        </w:rPr>
        <w:t>克</w:t>
      </w:r>
      <w:r>
        <w:rPr>
          <w:rFonts w:hint="eastAsia" w:ascii="宋体" w:hAnsi="宋体" w:eastAsia="方正仿宋_GBK" w:cs="方正仿宋_GBK"/>
          <w:b w:val="0"/>
          <w:bCs/>
          <w:color w:val="auto"/>
          <w:sz w:val="32"/>
          <w:szCs w:val="32"/>
          <w:highlight w:val="none"/>
        </w:rPr>
        <w:t>，发芽率85%，纯净度92%，半干旱区田间出苗率54%。</w:t>
      </w:r>
    </w:p>
    <w:p w14:paraId="3B16EA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鸭茅单播量=（13×10⁴×2.8）÷（85%×92%×54%×666.7×10³）≈1.28</w:t>
      </w:r>
      <w:r>
        <w:rPr>
          <w:rFonts w:hint="default" w:ascii="宋体" w:hAnsi="宋体" w:eastAsia="方正仿宋_GBK" w:cs="方正仿宋_GBK"/>
          <w:b w:val="0"/>
          <w:bCs/>
          <w:color w:val="auto"/>
          <w:sz w:val="32"/>
          <w:szCs w:val="32"/>
          <w:highlight w:val="none"/>
          <w:lang w:val="en"/>
        </w:rPr>
        <w:t>千克</w:t>
      </w:r>
      <w:r>
        <w:rPr>
          <w:rFonts w:hint="eastAsia" w:ascii="宋体" w:hAnsi="宋体" w:eastAsia="方正仿宋_GBK" w:cs="方正仿宋_GBK"/>
          <w:b w:val="0"/>
          <w:bCs/>
          <w:color w:val="auto"/>
          <w:sz w:val="32"/>
          <w:szCs w:val="32"/>
          <w:highlight w:val="none"/>
        </w:rPr>
        <w:t>/亩</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鸭茅</w:t>
      </w:r>
      <w:r>
        <w:rPr>
          <w:rFonts w:hint="eastAsia" w:ascii="宋体" w:hAnsi="宋体" w:eastAsia="方正仿宋_GBK" w:cs="方正仿宋_GBK"/>
          <w:b w:val="0"/>
          <w:bCs/>
          <w:color w:val="auto"/>
          <w:sz w:val="32"/>
          <w:szCs w:val="32"/>
          <w:highlight w:val="none"/>
          <w:lang w:val="en-US" w:eastAsia="zh-CN"/>
        </w:rPr>
        <w:t>混播量</w:t>
      </w:r>
      <w:r>
        <w:rPr>
          <w:rFonts w:hint="eastAsia" w:ascii="宋体" w:hAnsi="宋体" w:eastAsia="方正仿宋_GBK" w:cs="方正仿宋_GBK"/>
          <w:b w:val="0"/>
          <w:bCs/>
          <w:color w:val="auto"/>
          <w:sz w:val="32"/>
          <w:szCs w:val="32"/>
          <w:highlight w:val="none"/>
        </w:rPr>
        <w:t>=1.28×40%×（1+20%）≈0.61</w:t>
      </w:r>
      <w:r>
        <w:rPr>
          <w:rFonts w:hint="default" w:ascii="宋体" w:hAnsi="宋体" w:eastAsia="方正仿宋_GBK" w:cs="方正仿宋_GBK"/>
          <w:b w:val="0"/>
          <w:bCs/>
          <w:color w:val="auto"/>
          <w:sz w:val="32"/>
          <w:szCs w:val="32"/>
          <w:highlight w:val="none"/>
          <w:lang w:val="en"/>
        </w:rPr>
        <w:t>千克</w:t>
      </w:r>
      <w:r>
        <w:rPr>
          <w:rFonts w:hint="eastAsia" w:ascii="宋体" w:hAnsi="宋体" w:eastAsia="方正仿宋_GBK" w:cs="方正仿宋_GBK"/>
          <w:b w:val="0"/>
          <w:bCs/>
          <w:color w:val="auto"/>
          <w:sz w:val="32"/>
          <w:szCs w:val="32"/>
          <w:highlight w:val="none"/>
        </w:rPr>
        <w:t>/亩。</w:t>
      </w:r>
    </w:p>
    <w:p w14:paraId="07AF58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b w:val="0"/>
          <w:bCs/>
          <w:color w:val="auto"/>
          <w:sz w:val="32"/>
          <w:szCs w:val="32"/>
          <w:highlight w:val="none"/>
        </w:rPr>
      </w:pPr>
      <w:r>
        <w:rPr>
          <w:rFonts w:hint="eastAsia" w:ascii="宋体" w:hAnsi="宋体" w:eastAsia="方正仿宋_GBK" w:cs="方正仿宋_GBK"/>
          <w:b w:val="0"/>
          <w:bCs/>
          <w:color w:val="auto"/>
          <w:sz w:val="32"/>
          <w:szCs w:val="32"/>
          <w:highlight w:val="none"/>
        </w:rPr>
        <w:t>总播种量（含损耗）=（0.49+0.55+0.61）×10×（1+8%）≈18.14</w:t>
      </w:r>
      <w:r>
        <w:rPr>
          <w:rFonts w:hint="default" w:ascii="宋体" w:hAnsi="宋体" w:eastAsia="方正仿宋_GBK" w:cs="方正仿宋_GBK"/>
          <w:b w:val="0"/>
          <w:bCs/>
          <w:color w:val="auto"/>
          <w:sz w:val="32"/>
          <w:szCs w:val="32"/>
          <w:highlight w:val="none"/>
          <w:lang w:val="en"/>
        </w:rPr>
        <w:t>千克</w:t>
      </w:r>
      <w:r>
        <w:rPr>
          <w:rFonts w:hint="eastAsia" w:ascii="宋体" w:hAnsi="宋体" w:eastAsia="方正仿宋_GBK" w:cs="方正仿宋_GBK"/>
          <w:b w:val="0"/>
          <w:bCs/>
          <w:color w:val="auto"/>
          <w:sz w:val="32"/>
          <w:szCs w:val="32"/>
          <w:highlight w:val="none"/>
        </w:rPr>
        <w:t>，实际采购</w:t>
      </w:r>
      <w:r>
        <w:rPr>
          <w:rFonts w:hint="eastAsia" w:ascii="宋体" w:hAnsi="宋体" w:eastAsia="方正仿宋_GBK" w:cs="方正仿宋_GBK"/>
          <w:b w:val="0"/>
          <w:bCs/>
          <w:color w:val="auto"/>
          <w:sz w:val="32"/>
          <w:szCs w:val="32"/>
          <w:highlight w:val="none"/>
          <w:lang w:val="en-US" w:eastAsia="zh-CN"/>
        </w:rPr>
        <w:t>每亩按</w:t>
      </w:r>
      <w:r>
        <w:rPr>
          <w:rFonts w:hint="eastAsia" w:ascii="宋体" w:hAnsi="宋体" w:eastAsia="方正仿宋_GBK" w:cs="方正仿宋_GBK"/>
          <w:b w:val="0"/>
          <w:bCs/>
          <w:color w:val="auto"/>
          <w:sz w:val="32"/>
          <w:szCs w:val="32"/>
          <w:highlight w:val="none"/>
        </w:rPr>
        <w:t>18.5</w:t>
      </w:r>
      <w:r>
        <w:rPr>
          <w:rFonts w:hint="eastAsia" w:ascii="宋体" w:hAnsi="宋体" w:eastAsia="方正仿宋_GBK" w:cs="方正仿宋_GBK"/>
          <w:b w:val="0"/>
          <w:bCs/>
          <w:color w:val="auto"/>
          <w:sz w:val="32"/>
          <w:szCs w:val="32"/>
          <w:highlight w:val="none"/>
          <w:lang w:eastAsia="zh-CN"/>
        </w:rPr>
        <w:t>—</w:t>
      </w:r>
      <w:r>
        <w:rPr>
          <w:rFonts w:hint="eastAsia" w:ascii="宋体" w:hAnsi="宋体" w:eastAsia="方正仿宋_GBK" w:cs="方正仿宋_GBK"/>
          <w:b w:val="0"/>
          <w:bCs/>
          <w:color w:val="auto"/>
          <w:sz w:val="32"/>
          <w:szCs w:val="32"/>
          <w:highlight w:val="none"/>
        </w:rPr>
        <w:t>19</w:t>
      </w:r>
      <w:r>
        <w:rPr>
          <w:rFonts w:hint="default" w:ascii="宋体" w:hAnsi="宋体" w:eastAsia="方正仿宋_GBK" w:cs="方正仿宋_GBK"/>
          <w:b w:val="0"/>
          <w:bCs/>
          <w:color w:val="auto"/>
          <w:sz w:val="32"/>
          <w:szCs w:val="32"/>
          <w:highlight w:val="none"/>
          <w:lang w:val="en"/>
        </w:rPr>
        <w:t>千克</w:t>
      </w:r>
      <w:r>
        <w:rPr>
          <w:rFonts w:hint="eastAsia" w:ascii="宋体" w:hAnsi="宋体" w:eastAsia="方正仿宋_GBK" w:cs="方正仿宋_GBK"/>
          <w:b w:val="0"/>
          <w:bCs/>
          <w:color w:val="auto"/>
          <w:sz w:val="32"/>
          <w:szCs w:val="32"/>
          <w:highlight w:val="none"/>
        </w:rPr>
        <w:t>准备。</w:t>
      </w:r>
    </w:p>
    <w:p w14:paraId="2BA3D79C">
      <w:pPr>
        <w:spacing w:line="560" w:lineRule="exact"/>
        <w:ind w:firstLine="640" w:firstLineChars="200"/>
        <w:jc w:val="both"/>
        <w:rPr>
          <w:rFonts w:hint="default" w:ascii="宋体" w:hAnsi="宋体" w:eastAsia="方正仿宋_GBK" w:cs="方正仿宋_GBK"/>
          <w:color w:val="000000"/>
          <w:sz w:val="32"/>
          <w:szCs w:val="32"/>
          <w:highlight w:val="none"/>
          <w:lang w:val="en-US" w:eastAsia="zh-CN"/>
        </w:rPr>
      </w:pPr>
      <w:r>
        <w:rPr>
          <w:rFonts w:hint="eastAsia" w:ascii="宋体" w:hAnsi="宋体" w:eastAsia="方正黑体_GBK" w:cs="方正黑体_GBK"/>
          <w:color w:val="000000"/>
          <w:sz w:val="32"/>
          <w:szCs w:val="32"/>
          <w:highlight w:val="none"/>
          <w:lang w:val="en-US" w:eastAsia="zh-CN"/>
        </w:rPr>
        <w:t>五、参考标准及要求</w:t>
      </w:r>
    </w:p>
    <w:p w14:paraId="1660C189">
      <w:pPr>
        <w:spacing w:line="560" w:lineRule="exact"/>
        <w:ind w:firstLine="640" w:firstLineChars="200"/>
        <w:jc w:val="both"/>
        <w:rPr>
          <w:rFonts w:hint="eastAsia" w:ascii="宋体" w:hAnsi="宋体" w:eastAsia="方正仿宋_GBK" w:cs="方正仿宋_GBK"/>
          <w:color w:val="000000"/>
          <w:sz w:val="32"/>
          <w:szCs w:val="32"/>
          <w:highlight w:val="none"/>
          <w:lang w:val="en-US" w:eastAsia="zh-CN"/>
        </w:rPr>
      </w:pPr>
      <w:r>
        <w:rPr>
          <w:rFonts w:hint="eastAsia" w:ascii="宋体" w:hAnsi="宋体" w:eastAsia="方正仿宋_GBK" w:cs="方正仿宋_GBK"/>
          <w:color w:val="000000"/>
          <w:sz w:val="32"/>
          <w:szCs w:val="32"/>
          <w:highlight w:val="none"/>
          <w:lang w:val="en-US" w:eastAsia="zh-CN"/>
        </w:rPr>
        <w:t>《人工草地建设技术规程》（NY/T 1342—2007）</w:t>
      </w:r>
    </w:p>
    <w:p w14:paraId="13C923BA">
      <w:pPr>
        <w:spacing w:line="560" w:lineRule="exact"/>
        <w:ind w:firstLine="640" w:firstLineChars="200"/>
        <w:jc w:val="both"/>
        <w:rPr>
          <w:rFonts w:hint="default" w:ascii="宋体" w:hAnsi="宋体" w:eastAsia="方正仿宋_GBK" w:cs="方正仿宋_GBK"/>
          <w:color w:val="000000"/>
          <w:sz w:val="32"/>
          <w:szCs w:val="32"/>
          <w:highlight w:val="none"/>
          <w:lang w:val="en-US" w:eastAsia="zh-CN"/>
        </w:rPr>
      </w:pPr>
      <w:r>
        <w:rPr>
          <w:rFonts w:hint="default" w:ascii="宋体" w:hAnsi="宋体" w:eastAsia="方正仿宋_GBK" w:cs="方正仿宋_GBK"/>
          <w:color w:val="000000"/>
          <w:sz w:val="32"/>
          <w:szCs w:val="32"/>
          <w:highlight w:val="none"/>
          <w:lang w:val="en-US" w:eastAsia="zh-CN"/>
        </w:rPr>
        <w:t>《豆科草种子质量分级》（GB 6141</w:t>
      </w:r>
      <w:r>
        <w:rPr>
          <w:rFonts w:hint="eastAsia" w:ascii="宋体" w:hAnsi="宋体" w:eastAsia="方正仿宋_GBK" w:cs="方正仿宋_GBK"/>
          <w:color w:val="000000"/>
          <w:sz w:val="32"/>
          <w:szCs w:val="32"/>
          <w:highlight w:val="none"/>
          <w:lang w:val="en-US" w:eastAsia="zh-CN"/>
        </w:rPr>
        <w:t>—</w:t>
      </w:r>
      <w:r>
        <w:rPr>
          <w:rFonts w:hint="default" w:ascii="宋体" w:hAnsi="宋体" w:eastAsia="方正仿宋_GBK" w:cs="方正仿宋_GBK"/>
          <w:color w:val="000000"/>
          <w:sz w:val="32"/>
          <w:szCs w:val="32"/>
          <w:highlight w:val="none"/>
          <w:lang w:val="en-US" w:eastAsia="zh-CN"/>
        </w:rPr>
        <w:t>2008）</w:t>
      </w:r>
    </w:p>
    <w:p w14:paraId="04666EB9">
      <w:pPr>
        <w:spacing w:line="560" w:lineRule="exact"/>
        <w:ind w:firstLine="640" w:firstLineChars="200"/>
        <w:jc w:val="both"/>
        <w:rPr>
          <w:rFonts w:hint="default" w:ascii="宋体" w:hAnsi="宋体" w:eastAsia="方正仿宋_GBK" w:cs="方正仿宋_GBK"/>
          <w:color w:val="000000"/>
          <w:sz w:val="32"/>
          <w:szCs w:val="32"/>
          <w:highlight w:val="none"/>
          <w:lang w:val="en-US" w:eastAsia="zh-CN"/>
        </w:rPr>
      </w:pPr>
      <w:r>
        <w:rPr>
          <w:rFonts w:hint="default" w:ascii="宋体" w:hAnsi="宋体" w:eastAsia="方正仿宋_GBK" w:cs="方正仿宋_GBK"/>
          <w:color w:val="000000"/>
          <w:sz w:val="32"/>
          <w:szCs w:val="32"/>
          <w:highlight w:val="none"/>
          <w:lang w:val="en-US" w:eastAsia="zh-CN"/>
        </w:rPr>
        <w:t>《禾本科草种子质量分级》（GB 6142</w:t>
      </w:r>
      <w:r>
        <w:rPr>
          <w:rFonts w:hint="eastAsia" w:ascii="宋体" w:hAnsi="宋体" w:eastAsia="方正仿宋_GBK" w:cs="方正仿宋_GBK"/>
          <w:color w:val="000000"/>
          <w:sz w:val="32"/>
          <w:szCs w:val="32"/>
          <w:highlight w:val="none"/>
          <w:lang w:val="en-US" w:eastAsia="zh-CN"/>
        </w:rPr>
        <w:t>—</w:t>
      </w:r>
      <w:r>
        <w:rPr>
          <w:rFonts w:hint="default" w:ascii="宋体" w:hAnsi="宋体" w:eastAsia="方正仿宋_GBK" w:cs="方正仿宋_GBK"/>
          <w:color w:val="000000"/>
          <w:sz w:val="32"/>
          <w:szCs w:val="32"/>
          <w:highlight w:val="none"/>
          <w:lang w:val="en-US" w:eastAsia="zh-CN"/>
        </w:rPr>
        <w:t>2008）</w:t>
      </w:r>
    </w:p>
    <w:p w14:paraId="4139886D">
      <w:pPr>
        <w:spacing w:line="560" w:lineRule="exact"/>
        <w:ind w:firstLine="640" w:firstLineChars="200"/>
        <w:jc w:val="both"/>
        <w:rPr>
          <w:rFonts w:hint="default" w:ascii="宋体" w:hAnsi="宋体" w:eastAsia="方正仿宋_GBK" w:cs="方正仿宋_GBK"/>
          <w:color w:val="000000"/>
          <w:sz w:val="32"/>
          <w:szCs w:val="32"/>
          <w:highlight w:val="none"/>
          <w:lang w:val="en-US" w:eastAsia="zh-CN"/>
        </w:rPr>
      </w:pPr>
      <w:r>
        <w:rPr>
          <w:rFonts w:hint="default" w:ascii="宋体" w:hAnsi="宋体" w:eastAsia="方正仿宋_GBK" w:cs="方正仿宋_GBK"/>
          <w:color w:val="000000"/>
          <w:sz w:val="32"/>
          <w:szCs w:val="32"/>
          <w:highlight w:val="none"/>
          <w:lang w:val="en-US" w:eastAsia="zh-CN"/>
        </w:rPr>
        <w:t>为保证项目建设成效，</w:t>
      </w:r>
      <w:r>
        <w:rPr>
          <w:rFonts w:hint="eastAsia" w:ascii="宋体" w:hAnsi="宋体" w:eastAsia="方正仿宋_GBK" w:cs="方正仿宋_GBK"/>
          <w:color w:val="000000"/>
          <w:sz w:val="32"/>
          <w:szCs w:val="32"/>
          <w:highlight w:val="none"/>
          <w:lang w:val="en-US" w:eastAsia="zh-CN"/>
        </w:rPr>
        <w:t>草原植被恢复及生态修复种子质量不得低于三级标准；自行采集收集的乡土草种</w:t>
      </w:r>
      <w:r>
        <w:rPr>
          <w:rFonts w:hint="default" w:ascii="宋体" w:hAnsi="宋体" w:eastAsia="方正仿宋_GBK" w:cs="方正仿宋_GBK"/>
          <w:color w:val="000000"/>
          <w:sz w:val="32"/>
          <w:szCs w:val="32"/>
          <w:highlight w:val="none"/>
          <w:lang w:val="en-US" w:eastAsia="zh-CN"/>
        </w:rPr>
        <w:t>，播种前应进行种子净度、发芽率</w:t>
      </w:r>
      <w:r>
        <w:rPr>
          <w:rFonts w:hint="eastAsia" w:ascii="宋体" w:hAnsi="宋体" w:eastAsia="方正仿宋_GBK" w:cs="方正仿宋_GBK"/>
          <w:color w:val="000000"/>
          <w:sz w:val="32"/>
          <w:szCs w:val="32"/>
          <w:highlight w:val="none"/>
          <w:lang w:val="en-US" w:eastAsia="zh-CN"/>
        </w:rPr>
        <w:t>等</w:t>
      </w:r>
      <w:r>
        <w:rPr>
          <w:rFonts w:hint="default" w:ascii="宋体" w:hAnsi="宋体" w:eastAsia="方正仿宋_GBK" w:cs="方正仿宋_GBK"/>
          <w:color w:val="000000"/>
          <w:sz w:val="32"/>
          <w:szCs w:val="32"/>
          <w:highlight w:val="none"/>
          <w:lang w:val="en-US" w:eastAsia="zh-CN"/>
        </w:rPr>
        <w:t>测定，确定合理的播种量。</w:t>
      </w:r>
    </w:p>
    <w:p w14:paraId="1F5631D3">
      <w:pPr>
        <w:spacing w:line="560" w:lineRule="exact"/>
        <w:ind w:firstLine="640" w:firstLineChars="200"/>
        <w:jc w:val="left"/>
        <w:rPr>
          <w:rFonts w:hint="eastAsia" w:ascii="宋体" w:hAnsi="宋体" w:eastAsia="方正仿宋_GBK" w:cs="方正仿宋_GBK"/>
          <w:color w:val="auto"/>
          <w:sz w:val="32"/>
          <w:szCs w:val="32"/>
          <w:highlight w:val="none"/>
        </w:rPr>
        <w:sectPr>
          <w:footerReference r:id="rId4" w:type="default"/>
          <w:pgSz w:w="11906" w:h="16838"/>
          <w:pgMar w:top="1440" w:right="1800" w:bottom="1440" w:left="1800" w:header="851" w:footer="992" w:gutter="0"/>
          <w:cols w:space="720" w:num="1"/>
          <w:docGrid w:type="lines" w:linePitch="312" w:charSpace="0"/>
        </w:sectPr>
      </w:pPr>
    </w:p>
    <w:p w14:paraId="387A4E41">
      <w:pPr>
        <w:spacing w:line="560" w:lineRule="exact"/>
        <w:ind w:firstLine="0" w:firstLineChars="0"/>
        <w:jc w:val="left"/>
        <w:rPr>
          <w:rFonts w:hint="eastAsia" w:ascii="宋体" w:hAnsi="宋体" w:eastAsia="方正仿宋_GBK" w:cs="方正仿宋_GBK"/>
          <w:color w:val="000000"/>
          <w:sz w:val="32"/>
          <w:szCs w:val="32"/>
          <w:highlight w:val="none"/>
          <w:lang w:val="en-US" w:eastAsia="zh-CN"/>
        </w:rPr>
      </w:pPr>
      <w:r>
        <w:rPr>
          <w:rFonts w:hint="eastAsia" w:ascii="宋体" w:hAnsi="宋体" w:eastAsia="方正黑体_GBK" w:cs="方正黑体_GBK"/>
          <w:color w:val="000000"/>
          <w:sz w:val="32"/>
          <w:szCs w:val="32"/>
          <w:highlight w:val="none"/>
        </w:rPr>
        <w:t>附件</w:t>
      </w:r>
      <w:r>
        <w:rPr>
          <w:rFonts w:hint="eastAsia" w:ascii="宋体" w:hAnsi="宋体" w:eastAsia="方正仿宋_GBK" w:cs="方正仿宋_GBK"/>
          <w:color w:val="000000"/>
          <w:sz w:val="32"/>
          <w:szCs w:val="32"/>
          <w:highlight w:val="none"/>
          <w:lang w:val="en-US" w:eastAsia="zh-CN"/>
        </w:rPr>
        <w:t>3</w:t>
      </w:r>
    </w:p>
    <w:p w14:paraId="1F22EFCA">
      <w:pPr>
        <w:spacing w:line="560" w:lineRule="exact"/>
        <w:ind w:firstLine="0" w:firstLineChars="0"/>
        <w:jc w:val="left"/>
        <w:rPr>
          <w:rFonts w:hint="eastAsia" w:ascii="宋体" w:hAnsi="宋体" w:eastAsia="方正仿宋_GBK" w:cs="方正仿宋_GBK"/>
          <w:color w:val="000000"/>
          <w:sz w:val="32"/>
          <w:szCs w:val="32"/>
          <w:highlight w:val="none"/>
        </w:rPr>
      </w:pPr>
    </w:p>
    <w:p w14:paraId="5E8F4CCA">
      <w:pPr>
        <w:spacing w:line="560" w:lineRule="exact"/>
        <w:ind w:firstLine="720" w:firstLineChars="200"/>
        <w:jc w:val="center"/>
        <w:rPr>
          <w:rFonts w:hint="eastAsia" w:ascii="宋体" w:hAnsi="宋体" w:eastAsia="方正小标宋_GBK" w:cs="方正小标宋_GBK"/>
          <w:color w:val="000000"/>
          <w:sz w:val="36"/>
          <w:szCs w:val="36"/>
          <w:highlight w:val="none"/>
        </w:rPr>
      </w:pPr>
      <w:r>
        <w:rPr>
          <w:rFonts w:hint="eastAsia" w:ascii="宋体" w:hAnsi="宋体" w:eastAsia="方正小标宋_GBK" w:cs="方正小标宋_GBK"/>
          <w:color w:val="000000"/>
          <w:sz w:val="36"/>
          <w:szCs w:val="36"/>
          <w:highlight w:val="none"/>
        </w:rPr>
        <w:t>光伏项目区草原生态恢复（修复）</w:t>
      </w:r>
    </w:p>
    <w:p w14:paraId="33CB1E59">
      <w:pPr>
        <w:spacing w:line="560" w:lineRule="exact"/>
        <w:ind w:firstLine="720" w:firstLineChars="200"/>
        <w:jc w:val="center"/>
        <w:rPr>
          <w:rFonts w:hint="eastAsia" w:ascii="宋体" w:hAnsi="宋体" w:eastAsia="方正小标宋_GBK" w:cs="方正小标宋_GBK"/>
          <w:color w:val="000000"/>
          <w:sz w:val="36"/>
          <w:szCs w:val="36"/>
          <w:highlight w:val="none"/>
        </w:rPr>
      </w:pPr>
      <w:r>
        <w:rPr>
          <w:rFonts w:hint="eastAsia" w:ascii="宋体" w:hAnsi="宋体" w:eastAsia="方正小标宋_GBK" w:cs="方正小标宋_GBK"/>
          <w:color w:val="000000"/>
          <w:sz w:val="36"/>
          <w:szCs w:val="36"/>
          <w:highlight w:val="none"/>
        </w:rPr>
        <w:t>建议草种</w:t>
      </w:r>
    </w:p>
    <w:p w14:paraId="26770E21">
      <w:pPr>
        <w:spacing w:line="560" w:lineRule="exact"/>
        <w:ind w:firstLine="720" w:firstLineChars="200"/>
        <w:jc w:val="center"/>
        <w:rPr>
          <w:rFonts w:hint="eastAsia" w:ascii="宋体" w:hAnsi="宋体" w:eastAsia="方正小标宋_GBK" w:cs="方正小标宋_GBK"/>
          <w:color w:val="000000"/>
          <w:sz w:val="36"/>
          <w:szCs w:val="36"/>
          <w:highlight w:val="none"/>
        </w:rPr>
      </w:pPr>
    </w:p>
    <w:p w14:paraId="18111F07">
      <w:pPr>
        <w:spacing w:line="560" w:lineRule="exact"/>
        <w:ind w:firstLine="640" w:firstLineChars="200"/>
        <w:jc w:val="both"/>
        <w:rPr>
          <w:rFonts w:hint="eastAsia" w:ascii="宋体" w:hAnsi="宋体" w:eastAsia="方正黑体_GBK" w:cs="方正黑体_GBK"/>
          <w:color w:val="000000"/>
          <w:sz w:val="32"/>
          <w:szCs w:val="32"/>
          <w:highlight w:val="none"/>
        </w:rPr>
      </w:pPr>
      <w:r>
        <w:rPr>
          <w:rFonts w:hint="eastAsia" w:ascii="宋体" w:hAnsi="宋体" w:eastAsia="方正黑体_GBK" w:cs="方正黑体_GBK"/>
          <w:color w:val="000000"/>
          <w:sz w:val="32"/>
          <w:szCs w:val="32"/>
          <w:highlight w:val="none"/>
        </w:rPr>
        <w:t>一、豆科植物</w:t>
      </w:r>
    </w:p>
    <w:p w14:paraId="3DC0BB4E">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（一）白三叶</w:t>
      </w:r>
      <w:r>
        <w:rPr>
          <w:rFonts w:hint="eastAsia" w:ascii="宋体" w:hAnsi="宋体" w:eastAsia="方正楷体_GBK" w:cs="方正楷体_GBK"/>
          <w:color w:val="000000"/>
          <w:sz w:val="32"/>
          <w:szCs w:val="32"/>
          <w:highlight w:val="none"/>
          <w:lang w:eastAsia="zh-CN"/>
        </w:rPr>
        <w:t>（白车轴草）</w:t>
      </w:r>
      <w:r>
        <w:rPr>
          <w:rFonts w:hint="eastAsia" w:ascii="宋体" w:hAnsi="宋体" w:eastAsia="方正楷体_GBK" w:cs="方正楷体_GBK"/>
          <w:i/>
          <w:iCs/>
          <w:color w:val="000000"/>
          <w:sz w:val="32"/>
          <w:szCs w:val="32"/>
          <w:highlight w:val="none"/>
        </w:rPr>
        <w:t>Trifolium repens</w:t>
      </w:r>
      <w:r>
        <w:rPr>
          <w:rFonts w:hint="eastAsia" w:ascii="宋体" w:hAnsi="宋体" w:eastAsia="方正楷体_GBK" w:cs="方正楷体_GBK"/>
          <w:color w:val="000000"/>
          <w:sz w:val="32"/>
          <w:szCs w:val="32"/>
          <w:highlight w:val="none"/>
        </w:rPr>
        <w:t xml:space="preserve"> L.</w:t>
      </w:r>
    </w:p>
    <w:p w14:paraId="5DAA4FC4">
      <w:pPr>
        <w:spacing w:line="560" w:lineRule="exact"/>
        <w:ind w:firstLine="643" w:firstLineChars="200"/>
        <w:rPr>
          <w:rFonts w:hint="eastAsia" w:ascii="宋体" w:hAnsi="宋体" w:eastAsia="方正仿宋_GBK" w:cs="方正仿宋_GBK"/>
          <w:b/>
          <w:bCs/>
          <w:color w:val="000000"/>
          <w:sz w:val="32"/>
          <w:szCs w:val="32"/>
          <w:highlight w:val="none"/>
        </w:rPr>
      </w:pPr>
      <w:r>
        <w:rPr>
          <w:rFonts w:hint="eastAsia" w:ascii="宋体" w:hAnsi="宋体" w:eastAsia="方正仿宋_GBK" w:cs="方正仿宋_GBK"/>
          <w:b/>
          <w:bCs/>
          <w:color w:val="000000"/>
          <w:sz w:val="32"/>
          <w:szCs w:val="32"/>
          <w:highlight w:val="none"/>
        </w:rPr>
        <w:t>1.适滇品种</w:t>
      </w:r>
    </w:p>
    <w:p w14:paraId="3A592336">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普通白三叶、‘海法’、‘罗特’、‘瑞文德’等白三</w:t>
      </w:r>
      <w:r>
        <w:rPr>
          <w:rFonts w:hint="eastAsia" w:ascii="宋体" w:hAnsi="宋体" w:eastAsia="方正仿宋_GBK" w:cs="方正仿宋_GBK"/>
          <w:color w:val="000000"/>
          <w:sz w:val="32"/>
          <w:szCs w:val="32"/>
          <w:highlight w:val="none"/>
          <w:lang w:eastAsia="zh-CN"/>
        </w:rPr>
        <w:t>叶。</w:t>
      </w:r>
    </w:p>
    <w:p w14:paraId="36A9DD54">
      <w:pPr>
        <w:spacing w:line="560" w:lineRule="exact"/>
        <w:ind w:firstLine="643"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b/>
          <w:bCs/>
          <w:color w:val="000000"/>
          <w:sz w:val="32"/>
          <w:szCs w:val="32"/>
          <w:highlight w:val="none"/>
        </w:rPr>
        <w:t>2.品种突出特性</w:t>
      </w:r>
    </w:p>
    <w:p w14:paraId="3D78538D">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普通白三叶：适应性广，耐寒耐阴、耐践踏性强，对云南红壤、砂壤土适配性好，匍匐茎着地生根能力突出，覆盖速度快。适宜海拔800</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2000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、年均温15</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24</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、年降水量600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以上区域，昆明、楚雄、大理等滇中滇西地区表现稳定，冬季轻度枯黄。是兼具牧草与生态功能的通用品种。​</w:t>
      </w:r>
    </w:p>
    <w:p w14:paraId="274FB103">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‘海法’：耐热性优于普通品种，分蘖旺盛、再生能力强，对云南北亚热带、中亚热带气候适配性优，干物质产量高且营养价值突出，粗蛋白含量达24.5%，年产干草可达0.65吨/亩・年。适宜海拔600</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1800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、年均温16</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25</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、年降水量700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以上区域，普洱、文山、红河等湿热地区广泛种植。适配云南养殖产业与生态农业需求。​</w:t>
      </w:r>
    </w:p>
    <w:p w14:paraId="38E5046D">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‘罗特’：大叶型四倍体品种，株型直立、叶色浓绿，刈割后恢复速度快，年产干草可达0.73吨/亩・年，粗蛋白含量20.4%，增产优势显著。适宜海拔800</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1600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、年均温17</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24</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、年降水量900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以上温和湿润区域，玉溪、曲靖南部、西双版纳林区周边表现优良。</w:t>
      </w:r>
    </w:p>
    <w:p w14:paraId="7B9C3A3A">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‘瑞文德’：耐寒小叶型品种，植株低矮致密，耐修剪、耐践踏性强，抗茎腐病及线虫病，与冷季型草坪草混播可延长绿期。适宜海拔1200</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2600</w:t>
      </w:r>
      <w:r>
        <w:rPr>
          <w:rFonts w:hint="eastAsia" w:ascii="宋体" w:hAnsi="宋体" w:eastAsia="方正仿宋_GBK" w:cs="方正仿宋_GBK"/>
          <w:color w:val="000000"/>
          <w:sz w:val="32"/>
          <w:szCs w:val="32"/>
          <w:highlight w:val="none"/>
          <w:lang w:eastAsia="zh-CN"/>
        </w:rPr>
        <w:t>米</w:t>
      </w:r>
      <w:r>
        <w:rPr>
          <w:rFonts w:hint="eastAsia" w:ascii="宋体" w:hAnsi="宋体" w:eastAsia="方正仿宋_GBK" w:cs="方正仿宋_GBK"/>
          <w:color w:val="000000"/>
          <w:sz w:val="32"/>
          <w:szCs w:val="32"/>
          <w:highlight w:val="none"/>
        </w:rPr>
        <w:t>、年均温13</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22</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、年降水量650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以上区域，迪庆、丽江、昭通等冷凉地区可安全越冬，绿期长达240天以上，年产干草可达0.65吨/亩・年。</w:t>
      </w:r>
    </w:p>
    <w:p w14:paraId="394860A3">
      <w:pPr>
        <w:spacing w:line="560" w:lineRule="exact"/>
        <w:ind w:firstLine="643" w:firstLineChars="200"/>
        <w:rPr>
          <w:rFonts w:hint="eastAsia" w:ascii="宋体" w:hAnsi="宋体" w:eastAsia="方正仿宋_GBK" w:cs="方正仿宋_GBK"/>
          <w:b/>
          <w:bCs/>
          <w:color w:val="000000"/>
          <w:sz w:val="32"/>
          <w:szCs w:val="32"/>
          <w:highlight w:val="none"/>
          <w:lang w:eastAsia="zh-CN"/>
        </w:rPr>
      </w:pPr>
      <w:r>
        <w:rPr>
          <w:rFonts w:hint="eastAsia" w:ascii="宋体" w:hAnsi="宋体" w:eastAsia="方正仿宋_GBK" w:cs="方正仿宋_GBK"/>
          <w:b/>
          <w:bCs/>
          <w:color w:val="000000"/>
          <w:sz w:val="32"/>
          <w:szCs w:val="32"/>
          <w:highlight w:val="none"/>
        </w:rPr>
        <w:t>3.播种及</w:t>
      </w:r>
      <w:r>
        <w:rPr>
          <w:rFonts w:hint="eastAsia" w:ascii="宋体" w:hAnsi="宋体" w:eastAsia="方正仿宋_GBK" w:cs="方正仿宋_GBK"/>
          <w:b/>
          <w:bCs/>
          <w:color w:val="000000"/>
          <w:sz w:val="32"/>
          <w:szCs w:val="32"/>
          <w:highlight w:val="none"/>
          <w:lang w:eastAsia="zh-CN"/>
        </w:rPr>
        <w:t>管理</w:t>
      </w:r>
    </w:p>
    <w:p w14:paraId="05D2C7FC">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播种：滇中滇西地区9—10月秋播或3—4月春播，滇南湿热地区2—3月春播或11月秋播；播种量0.5—1.0</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/亩，条播行距20—30</w:t>
      </w:r>
      <w:r>
        <w:rPr>
          <w:rFonts w:hint="default" w:ascii="宋体" w:hAnsi="宋体" w:eastAsia="方正仿宋_GBK" w:cs="方正仿宋_GBK"/>
          <w:color w:val="000000"/>
          <w:sz w:val="32"/>
          <w:szCs w:val="32"/>
          <w:highlight w:val="none"/>
          <w:lang w:val="en"/>
        </w:rPr>
        <w:t>厘米</w:t>
      </w:r>
      <w:r>
        <w:rPr>
          <w:rFonts w:hint="eastAsia" w:ascii="宋体" w:hAnsi="宋体" w:eastAsia="方正仿宋_GBK" w:cs="方正仿宋_GBK"/>
          <w:color w:val="000000"/>
          <w:sz w:val="32"/>
          <w:szCs w:val="32"/>
          <w:highlight w:val="none"/>
        </w:rPr>
        <w:t>，撒播后覆盖0.5—1</w:t>
      </w:r>
      <w:r>
        <w:rPr>
          <w:rFonts w:hint="default" w:ascii="宋体" w:hAnsi="宋体" w:eastAsia="方正仿宋_GBK" w:cs="方正仿宋_GBK"/>
          <w:color w:val="000000"/>
          <w:sz w:val="32"/>
          <w:szCs w:val="32"/>
          <w:highlight w:val="none"/>
          <w:lang w:val="en"/>
        </w:rPr>
        <w:t>厘米</w:t>
      </w:r>
      <w:r>
        <w:rPr>
          <w:rFonts w:hint="eastAsia" w:ascii="宋体" w:hAnsi="宋体" w:eastAsia="方正仿宋_GBK" w:cs="方正仿宋_GBK"/>
          <w:color w:val="000000"/>
          <w:sz w:val="32"/>
          <w:szCs w:val="32"/>
          <w:highlight w:val="none"/>
        </w:rPr>
        <w:t>薄土（避免种子深埋），播后轻踩镇压。</w:t>
      </w:r>
    </w:p>
    <w:p w14:paraId="20511E86">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水肥：播前施过磷酸钙20—30</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/亩作基肥，苗期追施尿素2—3</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/亩促苗；耐旱性较强，生长期无需频繁灌溉，仅极端干旱时补水，避免积水烂根。</w:t>
      </w:r>
    </w:p>
    <w:p w14:paraId="606585CE">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b w:val="0"/>
          <w:bCs w:val="0"/>
          <w:color w:val="000000"/>
          <w:sz w:val="32"/>
          <w:szCs w:val="32"/>
          <w:highlight w:val="none"/>
        </w:rPr>
        <w:t>除杂：苗期杂草竞争力弱，人工拔除阔叶杂草，禾本科</w:t>
      </w:r>
      <w:r>
        <w:rPr>
          <w:rFonts w:hint="eastAsia" w:ascii="宋体" w:hAnsi="宋体" w:eastAsia="方正仿宋_GBK" w:cs="方正仿宋_GBK"/>
          <w:color w:val="000000"/>
          <w:sz w:val="32"/>
          <w:szCs w:val="32"/>
          <w:highlight w:val="none"/>
        </w:rPr>
        <w:t>杂草可喷施精喹禾灵防治；成坪后覆盖能力强，可抑制杂草生长，减少除草频次。</w:t>
      </w:r>
    </w:p>
    <w:p w14:paraId="516ACB46">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混播：常与多年生黑麦草、鸭茅等禾本科牧草混播，白三叶占20%—30%，禾本科草占70%—80%；单播作草坪时，需定期修剪（留茬高度3—5</w:t>
      </w:r>
      <w:r>
        <w:rPr>
          <w:rFonts w:hint="default" w:ascii="宋体" w:hAnsi="宋体" w:eastAsia="方正仿宋_GBK" w:cs="方正仿宋_GBK"/>
          <w:color w:val="000000"/>
          <w:sz w:val="32"/>
          <w:szCs w:val="32"/>
          <w:highlight w:val="none"/>
          <w:lang w:val="en"/>
        </w:rPr>
        <w:t>厘米</w:t>
      </w:r>
      <w:r>
        <w:rPr>
          <w:rFonts w:hint="eastAsia" w:ascii="宋体" w:hAnsi="宋体" w:eastAsia="方正仿宋_GBK" w:cs="方正仿宋_GBK"/>
          <w:color w:val="000000"/>
          <w:sz w:val="32"/>
          <w:szCs w:val="32"/>
          <w:highlight w:val="none"/>
        </w:rPr>
        <w:t>），保持整齐外观。</w:t>
      </w:r>
    </w:p>
    <w:p w14:paraId="6B1AD1D9">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（二）百脉根</w:t>
      </w:r>
      <w:r>
        <w:rPr>
          <w:rFonts w:hint="eastAsia" w:ascii="宋体" w:hAnsi="宋体" w:eastAsia="方正楷体_GBK" w:cs="方正楷体_GBK"/>
          <w:i/>
          <w:iCs/>
          <w:color w:val="000000"/>
          <w:sz w:val="32"/>
          <w:szCs w:val="32"/>
          <w:highlight w:val="none"/>
        </w:rPr>
        <w:t>Lotus corniculatus</w:t>
      </w:r>
      <w:r>
        <w:rPr>
          <w:rFonts w:hint="eastAsia" w:ascii="宋体" w:hAnsi="宋体" w:eastAsia="方正楷体_GBK" w:cs="方正楷体_GBK"/>
          <w:color w:val="000000"/>
          <w:sz w:val="32"/>
          <w:szCs w:val="32"/>
          <w:highlight w:val="none"/>
        </w:rPr>
        <w:t xml:space="preserve"> L.</w:t>
      </w:r>
    </w:p>
    <w:p w14:paraId="703B7AEF">
      <w:pPr>
        <w:spacing w:line="560" w:lineRule="exact"/>
        <w:ind w:firstLine="643" w:firstLineChars="200"/>
        <w:rPr>
          <w:rFonts w:hint="eastAsia" w:ascii="宋体" w:hAnsi="宋体" w:eastAsia="方正仿宋_GBK" w:cs="方正仿宋_GBK"/>
          <w:b/>
          <w:bCs/>
          <w:color w:val="000000"/>
          <w:sz w:val="32"/>
          <w:szCs w:val="32"/>
          <w:highlight w:val="none"/>
        </w:rPr>
      </w:pPr>
      <w:r>
        <w:rPr>
          <w:rFonts w:hint="eastAsia" w:ascii="宋体" w:hAnsi="宋体" w:eastAsia="方正仿宋_GBK" w:cs="方正仿宋_GBK"/>
          <w:b/>
          <w:bCs/>
          <w:color w:val="000000"/>
          <w:sz w:val="32"/>
          <w:szCs w:val="32"/>
          <w:highlight w:val="none"/>
        </w:rPr>
        <w:t>1.适滇品种</w:t>
      </w:r>
    </w:p>
    <w:p w14:paraId="06AB1A68">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普通百脉根、‘迈瑞伯’、‘金皇后’、‘里奥’、‘金顶’等百脉根。​</w:t>
      </w:r>
    </w:p>
    <w:p w14:paraId="75DB2ECD">
      <w:pPr>
        <w:spacing w:line="560" w:lineRule="exact"/>
        <w:ind w:firstLine="643"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b/>
          <w:bCs/>
          <w:color w:val="000000"/>
          <w:sz w:val="32"/>
          <w:szCs w:val="32"/>
          <w:highlight w:val="none"/>
        </w:rPr>
        <w:t>2.品种突出特性</w:t>
      </w:r>
    </w:p>
    <w:p w14:paraId="708DEF03">
      <w:pPr>
        <w:spacing w:line="560" w:lineRule="exact"/>
        <w:ind w:firstLine="640" w:firstLineChars="200"/>
        <w:rPr>
          <w:rFonts w:hint="eastAsia" w:ascii="宋体" w:hAnsi="宋体" w:eastAsia="方正仿宋_GBK" w:cs="方正仿宋_GBK"/>
          <w:color w:val="000000"/>
          <w:sz w:val="32"/>
          <w:szCs w:val="32"/>
          <w:highlight w:val="none"/>
          <w:lang w:eastAsia="zh-CN"/>
        </w:rPr>
      </w:pPr>
      <w:r>
        <w:rPr>
          <w:rFonts w:hint="eastAsia" w:ascii="宋体" w:hAnsi="宋体" w:eastAsia="方正仿宋_GBK" w:cs="方正仿宋_GBK"/>
          <w:color w:val="000000"/>
          <w:sz w:val="32"/>
          <w:szCs w:val="32"/>
          <w:highlight w:val="none"/>
        </w:rPr>
        <w:t>普通百脉根：适应性极强，耐贫瘠、耐水渍能力突出，对云南红壤、河滩冲积土等多种土壤类型适配性好，主根发达且根瘤固氮能力强，能有效改良酸性贫瘠土壤。适宜海拔900—2200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、年均温14—23</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、年降水量600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以上区域，在曲靖、楚雄、大理、保山等滇东、滇中、滇西地区生长稳定，冬季仅轻微落叶。适用于荒山绿化、坡地水土保持、</w:t>
      </w:r>
      <w:r>
        <w:rPr>
          <w:rFonts w:hint="eastAsia" w:ascii="宋体" w:hAnsi="宋体" w:eastAsia="方正仿宋_GBK" w:cs="方正仿宋_GBK"/>
          <w:color w:val="auto"/>
          <w:sz w:val="32"/>
          <w:szCs w:val="32"/>
          <w:highlight w:val="none"/>
        </w:rPr>
        <w:t>山地放牧草场建植</w:t>
      </w:r>
      <w:r>
        <w:rPr>
          <w:rFonts w:hint="eastAsia" w:ascii="宋体" w:hAnsi="宋体" w:eastAsia="方正仿宋_GBK" w:cs="方正仿宋_GBK"/>
          <w:color w:val="000000"/>
          <w:sz w:val="32"/>
          <w:szCs w:val="32"/>
          <w:highlight w:val="none"/>
        </w:rPr>
        <w:t>，是低成本、多功能的通用型品种</w:t>
      </w:r>
      <w:r>
        <w:rPr>
          <w:rFonts w:hint="eastAsia" w:ascii="宋体" w:hAnsi="宋体" w:eastAsia="方正仿宋_GBK" w:cs="方正仿宋_GBK"/>
          <w:color w:val="000000"/>
          <w:sz w:val="32"/>
          <w:szCs w:val="32"/>
          <w:highlight w:val="none"/>
          <w:lang w:eastAsia="zh-CN"/>
        </w:rPr>
        <w:t>。</w:t>
      </w:r>
    </w:p>
    <w:p w14:paraId="26F190EA">
      <w:pPr>
        <w:spacing w:line="560" w:lineRule="exact"/>
        <w:ind w:firstLine="640" w:firstLineChars="200"/>
        <w:rPr>
          <w:rFonts w:hint="eastAsia" w:ascii="宋体" w:hAnsi="宋体" w:eastAsia="方正仿宋_GBK" w:cs="方正仿宋_GBK"/>
          <w:color w:val="000000"/>
          <w:sz w:val="32"/>
          <w:szCs w:val="32"/>
          <w:highlight w:val="none"/>
          <w:lang w:eastAsia="zh-CN"/>
        </w:rPr>
      </w:pPr>
      <w:r>
        <w:rPr>
          <w:rFonts w:hint="eastAsia" w:ascii="宋体" w:hAnsi="宋体" w:eastAsia="方正仿宋_GBK" w:cs="方正仿宋_GBK"/>
          <w:color w:val="000000"/>
          <w:sz w:val="32"/>
          <w:szCs w:val="32"/>
          <w:highlight w:val="none"/>
        </w:rPr>
        <w:t>‘迈瑞伯’：耐热性和抗旱性优于普通品种，茎叶柔嫩多汁，适口性极佳，粗蛋白含量达23.2%，营养价值接近优质苜蓿。适宜海拔700—900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、年均温15—25</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、年降水量650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以上区域，在普洱、红河、文山等滇南湿热地区种植表现优异，夏季高温时仍能保持较好长势。再生能力强，刈割后快速恢复，适配云南养殖产业对优质牧草的需求</w:t>
      </w:r>
      <w:r>
        <w:rPr>
          <w:rFonts w:hint="eastAsia" w:ascii="宋体" w:hAnsi="宋体" w:eastAsia="方正仿宋_GBK" w:cs="方正仿宋_GBK"/>
          <w:color w:val="000000"/>
          <w:sz w:val="32"/>
          <w:szCs w:val="32"/>
          <w:highlight w:val="none"/>
          <w:lang w:eastAsia="zh-CN"/>
        </w:rPr>
        <w:t>。</w:t>
      </w:r>
    </w:p>
    <w:p w14:paraId="31A0B9E9">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‘金皇后’：大叶丰产型品种，植株丛生性强，茎秆粗壮，年产干草可达0.67吨/亩・年，抗白粉病、根腐病能力突出，对云南中亚热带气候适配性优。适宜海拔800—1700</w:t>
      </w:r>
      <w:r>
        <w:rPr>
          <w:rFonts w:hint="eastAsia" w:ascii="宋体" w:hAnsi="宋体" w:eastAsia="方正仿宋_GBK" w:cs="方正仿宋_GBK"/>
          <w:color w:val="000000"/>
          <w:sz w:val="32"/>
          <w:szCs w:val="32"/>
          <w:highlight w:val="none"/>
          <w:lang w:eastAsia="zh-CN"/>
        </w:rPr>
        <w:t>米</w:t>
      </w:r>
      <w:r>
        <w:rPr>
          <w:rFonts w:hint="eastAsia" w:ascii="宋体" w:hAnsi="宋体" w:eastAsia="方正仿宋_GBK" w:cs="方正仿宋_GBK"/>
          <w:color w:val="000000"/>
          <w:sz w:val="32"/>
          <w:szCs w:val="32"/>
          <w:highlight w:val="none"/>
        </w:rPr>
        <w:t>、年均温16—24</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、年降水量800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以上的温和湿润区域，在玉溪、曲靖、临沧等地区种植产量稳定。云南多地规模化草场均有种植，不仅可作为优质牧草，还具有一定观赏价值。​</w:t>
      </w:r>
    </w:p>
    <w:p w14:paraId="28022562">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‘里奥’：耐寒性突出的优良品种，植株低矮紧凑，耐践踏，绿期较长，在高海拔地区可安全越冬。适宜海拔1200—2800</w:t>
      </w:r>
      <w:r>
        <w:rPr>
          <w:rFonts w:hint="eastAsia" w:ascii="宋体" w:hAnsi="宋体" w:eastAsia="方正仿宋_GBK" w:cs="方正仿宋_GBK"/>
          <w:color w:val="000000"/>
          <w:sz w:val="32"/>
          <w:szCs w:val="32"/>
          <w:highlight w:val="none"/>
          <w:lang w:eastAsia="zh-CN"/>
        </w:rPr>
        <w:t>米</w:t>
      </w:r>
      <w:r>
        <w:rPr>
          <w:rFonts w:hint="eastAsia" w:ascii="宋体" w:hAnsi="宋体" w:eastAsia="方正仿宋_GBK" w:cs="方正仿宋_GBK"/>
          <w:color w:val="000000"/>
          <w:sz w:val="32"/>
          <w:szCs w:val="32"/>
          <w:highlight w:val="none"/>
        </w:rPr>
        <w:t>、年均温13</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21</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、年降水量650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以上区域，在迪庆、丽江、昭通等滇北冷凉地区表现出色，绿期可达230天以上。抗逆性强，对低温、干旱等恶劣环境适应能力强，常与白三叶、黑麦草等混播用于高山草场建植</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是滇北高海拔地区生态治理和牧草种植的优选品种。</w:t>
      </w:r>
    </w:p>
    <w:p w14:paraId="124ABFB4">
      <w:pPr>
        <w:spacing w:before="0" w:after="0" w:line="560" w:lineRule="exact"/>
        <w:ind w:firstLine="640" w:firstLineChars="200"/>
        <w:jc w:val="both"/>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auto"/>
          <w:sz w:val="32"/>
          <w:szCs w:val="32"/>
          <w:highlight w:val="none"/>
        </w:rPr>
        <w:t>‘金顶’：国内选育品种，叶片浓绿且保持期长，匍匐生长特性明显，覆盖能力强，对云南高原季风气候适配性好，在昼夜温差大的区域仍能稳定生长，年产干草可达0.55吨/亩・年。适宜海拔700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auto"/>
          <w:sz w:val="32"/>
          <w:szCs w:val="32"/>
          <w:highlight w:val="none"/>
        </w:rPr>
        <w:t>、年降水量650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以上区域，昆明、普洱、临沧等多地均有种植。</w:t>
      </w:r>
    </w:p>
    <w:p w14:paraId="128B5CFA">
      <w:pPr>
        <w:spacing w:before="0" w:after="0" w:line="560" w:lineRule="exact"/>
        <w:ind w:firstLine="643" w:firstLineChars="200"/>
        <w:jc w:val="both"/>
        <w:rPr>
          <w:rFonts w:hint="eastAsia" w:ascii="宋体" w:hAnsi="宋体" w:eastAsia="方正仿宋_GBK" w:cs="方正仿宋_GBK"/>
          <w:b/>
          <w:bCs/>
          <w:color w:val="000000"/>
          <w:sz w:val="32"/>
          <w:szCs w:val="32"/>
          <w:highlight w:val="none"/>
          <w:lang w:eastAsia="zh-CN"/>
        </w:rPr>
      </w:pPr>
      <w:r>
        <w:rPr>
          <w:rFonts w:hint="eastAsia" w:ascii="宋体" w:hAnsi="宋体" w:eastAsia="方正仿宋_GBK" w:cs="方正仿宋_GBK"/>
          <w:b/>
          <w:bCs/>
          <w:color w:val="000000"/>
          <w:sz w:val="32"/>
          <w:szCs w:val="32"/>
          <w:highlight w:val="none"/>
        </w:rPr>
        <w:t>3.播种及</w:t>
      </w:r>
      <w:r>
        <w:rPr>
          <w:rFonts w:hint="eastAsia" w:ascii="宋体" w:hAnsi="宋体" w:eastAsia="方正仿宋_GBK" w:cs="方正仿宋_GBK"/>
          <w:b/>
          <w:bCs/>
          <w:color w:val="000000"/>
          <w:sz w:val="32"/>
          <w:szCs w:val="32"/>
          <w:highlight w:val="none"/>
          <w:lang w:eastAsia="zh-CN"/>
        </w:rPr>
        <w:t>管理</w:t>
      </w:r>
    </w:p>
    <w:p w14:paraId="7EB8F5C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播种：滇中及以北地区以3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4月春播为佳，滇南地区可在2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3月或10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11月播种；播种量0.8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1.2</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/亩，条播行距25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35</w:t>
      </w:r>
      <w:r>
        <w:rPr>
          <w:rFonts w:hint="eastAsia" w:ascii="宋体" w:hAnsi="宋体" w:eastAsia="方正仿宋_GBK" w:cs="方正仿宋_GBK"/>
          <w:color w:val="auto"/>
          <w:sz w:val="32"/>
          <w:szCs w:val="32"/>
          <w:highlight w:val="none"/>
          <w:lang w:val="en" w:eastAsia="zh-CN"/>
        </w:rPr>
        <w:t>厘米</w:t>
      </w:r>
      <w:r>
        <w:rPr>
          <w:rFonts w:hint="eastAsia" w:ascii="宋体" w:hAnsi="宋体" w:eastAsia="方正仿宋_GBK" w:cs="方正仿宋_GBK"/>
          <w:color w:val="auto"/>
          <w:sz w:val="32"/>
          <w:szCs w:val="32"/>
          <w:highlight w:val="none"/>
        </w:rPr>
        <w:t>，撒播后覆盖0.3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0.8</w:t>
      </w:r>
      <w:r>
        <w:rPr>
          <w:rFonts w:hint="eastAsia" w:ascii="宋体" w:hAnsi="宋体" w:eastAsia="方正仿宋_GBK" w:cs="方正仿宋_GBK"/>
          <w:color w:val="auto"/>
          <w:sz w:val="32"/>
          <w:szCs w:val="32"/>
          <w:highlight w:val="none"/>
          <w:lang w:val="en" w:eastAsia="zh-CN"/>
        </w:rPr>
        <w:t>厘米</w:t>
      </w:r>
      <w:r>
        <w:rPr>
          <w:rFonts w:hint="eastAsia" w:ascii="宋体" w:hAnsi="宋体" w:eastAsia="方正仿宋_GBK" w:cs="方正仿宋_GBK"/>
          <w:color w:val="auto"/>
          <w:sz w:val="32"/>
          <w:szCs w:val="32"/>
          <w:highlight w:val="none"/>
        </w:rPr>
        <w:t>细土，播后镇压以促进种子与土壤结合。</w:t>
      </w:r>
    </w:p>
    <w:p w14:paraId="7C7DFF5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水肥：播前施腐熟农家肥1000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/亩或过磷酸钙15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/亩作基肥，苗期追施尿素1.5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/亩提苗；耐旱性极强，生长期自然降水即可满足需求，仅长期无雨时少量补水，忌土壤积水。</w:t>
      </w:r>
    </w:p>
    <w:p w14:paraId="3E589D4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除杂：苗期生长较慢，需及时人工拔除阔叶杂草，禾本科杂草可选用高效氟吡甲禾灵喷雾防治；株高达到15</w:t>
      </w:r>
      <w:r>
        <w:rPr>
          <w:rFonts w:hint="eastAsia" w:ascii="宋体" w:hAnsi="宋体" w:eastAsia="方正仿宋_GBK" w:cs="方正仿宋_GBK"/>
          <w:color w:val="auto"/>
          <w:sz w:val="32"/>
          <w:szCs w:val="32"/>
          <w:highlight w:val="none"/>
          <w:lang w:val="en" w:eastAsia="zh-CN"/>
        </w:rPr>
        <w:t>厘米</w:t>
      </w:r>
      <w:r>
        <w:rPr>
          <w:rFonts w:hint="eastAsia" w:ascii="宋体" w:hAnsi="宋体" w:eastAsia="方正仿宋_GBK" w:cs="方正仿宋_GBK"/>
          <w:color w:val="auto"/>
          <w:sz w:val="32"/>
          <w:szCs w:val="32"/>
          <w:highlight w:val="none"/>
        </w:rPr>
        <w:t>后竞争力增强，成株后可有效抑制杂草滋生，后期基本无需除草。</w:t>
      </w:r>
    </w:p>
    <w:p w14:paraId="1FF317EE">
      <w:pPr>
        <w:spacing w:before="0" w:after="0" w:line="560" w:lineRule="exact"/>
        <w:ind w:firstLine="640" w:firstLineChars="200"/>
        <w:jc w:val="both"/>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auto"/>
          <w:sz w:val="32"/>
          <w:szCs w:val="32"/>
          <w:highlight w:val="none"/>
        </w:rPr>
        <w:t>混播：常与羊草、冰草等禾本科牧草混播，百脉根占30%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40%，禾本科草占60%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70%，提升草场产量与品质；单播作绿肥时，在盛花期翻压入土，可显著增加土壤有机质含量。</w:t>
      </w:r>
    </w:p>
    <w:p w14:paraId="194D875F">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（三）草木樨</w:t>
      </w:r>
      <w:r>
        <w:rPr>
          <w:rFonts w:hint="eastAsia" w:ascii="宋体" w:hAnsi="宋体" w:eastAsia="方正楷体_GBK" w:cs="方正楷体_GBK"/>
          <w:i/>
          <w:iCs/>
          <w:color w:val="000000"/>
          <w:sz w:val="32"/>
          <w:szCs w:val="32"/>
          <w:highlight w:val="none"/>
        </w:rPr>
        <w:t xml:space="preserve">Melilotus officinalis </w:t>
      </w:r>
      <w:r>
        <w:rPr>
          <w:rFonts w:hint="eastAsia" w:ascii="宋体" w:hAnsi="宋体" w:eastAsia="方正楷体_GBK" w:cs="方正楷体_GBK"/>
          <w:color w:val="000000"/>
          <w:sz w:val="32"/>
          <w:szCs w:val="32"/>
          <w:highlight w:val="none"/>
          <w:lang w:eastAsia="zh-CN"/>
        </w:rPr>
        <w:t>（</w:t>
      </w:r>
      <w:r>
        <w:rPr>
          <w:rFonts w:hint="eastAsia" w:ascii="宋体" w:hAnsi="宋体" w:eastAsia="方正楷体_GBK" w:cs="方正楷体_GBK"/>
          <w:color w:val="000000"/>
          <w:sz w:val="32"/>
          <w:szCs w:val="32"/>
          <w:highlight w:val="none"/>
        </w:rPr>
        <w:t>L.</w:t>
      </w:r>
      <w:r>
        <w:rPr>
          <w:rFonts w:hint="eastAsia" w:ascii="宋体" w:hAnsi="宋体" w:eastAsia="方正楷体_GBK" w:cs="方正楷体_GBK"/>
          <w:color w:val="000000"/>
          <w:sz w:val="32"/>
          <w:szCs w:val="32"/>
          <w:highlight w:val="none"/>
          <w:lang w:eastAsia="zh-CN"/>
        </w:rPr>
        <w:t>）</w:t>
      </w:r>
      <w:r>
        <w:rPr>
          <w:rFonts w:hint="eastAsia" w:ascii="宋体" w:hAnsi="宋体" w:eastAsia="方正楷体_GBK" w:cs="方正楷体_GBK"/>
          <w:color w:val="000000"/>
          <w:sz w:val="32"/>
          <w:szCs w:val="32"/>
          <w:highlight w:val="none"/>
        </w:rPr>
        <w:t xml:space="preserve"> Lam.</w:t>
      </w:r>
    </w:p>
    <w:p w14:paraId="265C2019">
      <w:pPr>
        <w:spacing w:line="560" w:lineRule="exact"/>
        <w:ind w:firstLine="643" w:firstLineChars="200"/>
        <w:rPr>
          <w:rFonts w:hint="eastAsia" w:ascii="宋体" w:hAnsi="宋体" w:eastAsia="方正仿宋_GBK" w:cs="方正仿宋_GBK"/>
          <w:b/>
          <w:bCs/>
          <w:color w:val="000000"/>
          <w:sz w:val="32"/>
          <w:szCs w:val="32"/>
          <w:highlight w:val="none"/>
        </w:rPr>
      </w:pPr>
      <w:r>
        <w:rPr>
          <w:rFonts w:hint="eastAsia" w:ascii="宋体" w:hAnsi="宋体" w:eastAsia="方正仿宋_GBK" w:cs="方正仿宋_GBK"/>
          <w:b/>
          <w:bCs/>
          <w:color w:val="000000"/>
          <w:sz w:val="32"/>
          <w:szCs w:val="32"/>
          <w:highlight w:val="none"/>
        </w:rPr>
        <w:t>1.适滇品种</w:t>
      </w:r>
    </w:p>
    <w:p w14:paraId="3E6AE8DB">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黄花草木樨、白花草木樨、</w:t>
      </w:r>
      <w:r>
        <w:rPr>
          <w:rFonts w:hint="eastAsia" w:ascii="宋体" w:hAnsi="宋体" w:eastAsia="方正仿宋_GBK" w:cs="方正仿宋_GBK"/>
          <w:color w:val="auto"/>
          <w:sz w:val="32"/>
          <w:szCs w:val="32"/>
          <w:highlight w:val="none"/>
        </w:rPr>
        <w:t>‘云牧1号’、</w:t>
      </w:r>
      <w:r>
        <w:rPr>
          <w:rFonts w:hint="eastAsia" w:ascii="宋体" w:hAnsi="宋体" w:eastAsia="方正仿宋_GBK" w:cs="方正仿宋_GBK"/>
          <w:color w:val="000000"/>
          <w:sz w:val="32"/>
          <w:szCs w:val="32"/>
          <w:highlight w:val="none"/>
        </w:rPr>
        <w:t>‘陕草木樨1号’、‘宁草木樨2号’等草木樨。​</w:t>
      </w:r>
    </w:p>
    <w:p w14:paraId="158B3E97">
      <w:pPr>
        <w:spacing w:line="560" w:lineRule="exact"/>
        <w:ind w:firstLine="643"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b/>
          <w:bCs/>
          <w:color w:val="000000"/>
          <w:sz w:val="32"/>
          <w:szCs w:val="32"/>
          <w:highlight w:val="none"/>
        </w:rPr>
        <w:t>2.品种突出特性</w:t>
      </w:r>
    </w:p>
    <w:p w14:paraId="54A6BB7B">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黄花草木樨：</w:t>
      </w:r>
      <w:r>
        <w:rPr>
          <w:rFonts w:hint="eastAsia" w:ascii="宋体" w:hAnsi="宋体" w:eastAsia="方正仿宋_GBK" w:cs="方正仿宋_GBK"/>
          <w:color w:val="auto"/>
          <w:sz w:val="32"/>
          <w:szCs w:val="32"/>
          <w:highlight w:val="none"/>
        </w:rPr>
        <w:t>适应性极强，耐盐碱、耐贫瘠，对云南干热河谷的石灰质土壤及滇东盐碱化土壤适配性好，生长速度快，生物量巨大，年产干草可达0.85吨/亩・年。适宜海拔600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2100</w:t>
      </w:r>
      <w:r>
        <w:rPr>
          <w:rFonts w:hint="eastAsia" w:ascii="宋体" w:hAnsi="宋体" w:eastAsia="方正仿宋_GBK" w:cs="方正仿宋_GBK"/>
          <w:color w:val="auto"/>
          <w:sz w:val="32"/>
          <w:szCs w:val="32"/>
          <w:highlight w:val="none"/>
          <w:lang w:eastAsia="zh-C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auto"/>
          <w:sz w:val="32"/>
          <w:szCs w:val="32"/>
          <w:highlight w:val="none"/>
        </w:rPr>
        <w:t>、年降水量450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以上区域，楚雄元谋、丽江华坪、红河元阳等干热地区生长旺盛，夏季高温仍能正常生长。适用于干热河谷生态治理、盐碱地改良、荒山绿化。</w:t>
      </w:r>
    </w:p>
    <w:p w14:paraId="6571480D">
      <w:pPr>
        <w:spacing w:before="0" w:after="0" w:line="560" w:lineRule="exact"/>
        <w:ind w:firstLine="640" w:firstLineChars="200"/>
        <w:jc w:val="both"/>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白花草木樨：</w:t>
      </w:r>
      <w:r>
        <w:rPr>
          <w:rFonts w:hint="eastAsia" w:ascii="宋体" w:hAnsi="宋体" w:eastAsia="方正仿宋_GBK" w:cs="方正仿宋_GBK"/>
          <w:color w:val="auto"/>
          <w:sz w:val="32"/>
          <w:szCs w:val="32"/>
          <w:highlight w:val="none"/>
        </w:rPr>
        <w:t>品质优于黄花草木樨，粗蛋白含量18.7%，纤维含量低，适口性较好，是优质的粗饲料来源，年产干草可达0.92吨/亩・年。适宜海拔</w:t>
      </w:r>
      <w:r>
        <w:rPr>
          <w:rFonts w:hint="eastAsia" w:ascii="宋体" w:hAnsi="宋体" w:eastAsia="方正仿宋_GBK" w:cs="方正仿宋_GBK"/>
          <w:color w:val="auto"/>
          <w:sz w:val="32"/>
          <w:szCs w:val="32"/>
          <w:highlight w:val="none"/>
          <w:lang w:val="en-US" w:eastAsia="zh-CN"/>
        </w:rPr>
        <w:t>8</w:t>
      </w:r>
      <w:r>
        <w:rPr>
          <w:rFonts w:hint="eastAsia" w:ascii="宋体" w:hAnsi="宋体" w:eastAsia="方正仿宋_GBK" w:cs="方正仿宋_GBK"/>
          <w:color w:val="auto"/>
          <w:sz w:val="32"/>
          <w:szCs w:val="32"/>
          <w:highlight w:val="none"/>
        </w:rPr>
        <w:t>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2000</w:t>
      </w:r>
      <w:r>
        <w:rPr>
          <w:rFonts w:hint="eastAsia" w:ascii="宋体" w:hAnsi="宋体" w:eastAsia="方正仿宋_GBK" w:cs="方正仿宋_GBK"/>
          <w:color w:val="auto"/>
          <w:sz w:val="32"/>
          <w:szCs w:val="32"/>
          <w:highlight w:val="none"/>
          <w:lang w:eastAsia="zh-C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auto"/>
          <w:sz w:val="32"/>
          <w:szCs w:val="32"/>
          <w:highlight w:val="none"/>
        </w:rPr>
        <w:t>、年降水量500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以上区域，曲靖、昭通、大理等滇中滇东北地区种植广泛，冬季地上部分枯萎，次年春季返青早。在云南养殖与农业结合模式中应用广泛。</w:t>
      </w:r>
    </w:p>
    <w:p w14:paraId="1AFE5230">
      <w:pPr>
        <w:spacing w:line="560" w:lineRule="exact"/>
        <w:ind w:firstLine="640" w:firstLineChars="200"/>
        <w:rPr>
          <w:rFonts w:hint="eastAsia" w:ascii="宋体" w:hAnsi="宋体" w:eastAsia="方正仿宋_GBK" w:cs="方正仿宋_GBK"/>
          <w:color w:val="000000"/>
          <w:sz w:val="32"/>
          <w:szCs w:val="32"/>
          <w:highlight w:val="none"/>
          <w:lang w:eastAsia="zh-CN"/>
        </w:rPr>
      </w:pPr>
      <w:r>
        <w:rPr>
          <w:rFonts w:hint="eastAsia" w:ascii="宋体" w:hAnsi="宋体" w:eastAsia="方正仿宋_GBK" w:cs="方正仿宋_GBK"/>
          <w:color w:val="auto"/>
          <w:sz w:val="32"/>
          <w:szCs w:val="32"/>
          <w:highlight w:val="none"/>
        </w:rPr>
        <w:t>‘云牧1号’：适宜高原气候，抗倒伏能力强，再生速度快，在云南多雾高湿区域抗白粉病能力突出，年产干草可达1.05吨/亩・年。适宜海拔900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2300</w:t>
      </w:r>
      <w:r>
        <w:rPr>
          <w:rFonts w:hint="eastAsia" w:ascii="宋体" w:hAnsi="宋体" w:eastAsia="方正仿宋_GBK" w:cs="方正仿宋_GBK"/>
          <w:color w:val="auto"/>
          <w:sz w:val="32"/>
          <w:szCs w:val="32"/>
          <w:highlight w:val="none"/>
          <w:lang w:eastAsia="zh-CN"/>
        </w:rPr>
        <w:t>米</w:t>
      </w:r>
      <w:r>
        <w:rPr>
          <w:rFonts w:hint="eastAsia" w:ascii="宋体" w:hAnsi="宋体" w:eastAsia="方正仿宋_GBK" w:cs="方正仿宋_GBK"/>
          <w:color w:val="auto"/>
          <w:sz w:val="32"/>
          <w:szCs w:val="32"/>
          <w:highlight w:val="none"/>
        </w:rPr>
        <w:t>、年均温13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以上区域，曲靖会泽、丽江永胜、迪庆香格里拉等地区均可种植，绿期达200天以上。适用于山地放牧草场混播、高海拔边坡防护、人工牧草基地建设</w:t>
      </w:r>
      <w:r>
        <w:rPr>
          <w:rFonts w:hint="eastAsia" w:ascii="宋体" w:hAnsi="宋体" w:eastAsia="方正仿宋_GBK" w:cs="方正仿宋_GBK"/>
          <w:color w:val="auto"/>
          <w:sz w:val="32"/>
          <w:szCs w:val="32"/>
          <w:highlight w:val="none"/>
          <w:lang w:eastAsia="zh-CN"/>
        </w:rPr>
        <w:t>。</w:t>
      </w:r>
    </w:p>
    <w:p w14:paraId="45292435">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‘陕草木樨1号’：丰产型品种，植株高大（株高可达1.5—2</w:t>
      </w:r>
      <w:r>
        <w:rPr>
          <w:rFonts w:hint="eastAsia" w:ascii="宋体" w:hAnsi="宋体" w:eastAsia="方正仿宋_GBK" w:cs="方正仿宋_GBK"/>
          <w:color w:val="000000"/>
          <w:sz w:val="32"/>
          <w:szCs w:val="32"/>
          <w:highlight w:val="none"/>
          <w:lang w:eastAsia="zh-CN"/>
        </w:rPr>
        <w:t>米</w:t>
      </w:r>
      <w:r>
        <w:rPr>
          <w:rFonts w:hint="eastAsia" w:ascii="宋体" w:hAnsi="宋体" w:eastAsia="方正仿宋_GBK" w:cs="方正仿宋_GBK"/>
          <w:color w:val="000000"/>
          <w:sz w:val="32"/>
          <w:szCs w:val="32"/>
          <w:highlight w:val="none"/>
        </w:rPr>
        <w:t>），分枝能力强，年产干草可达0.53吨/亩・年，抗白粉病、叶斑病能力突出，对云南中亚热带气候适配性优。适宜海拔900—1800</w:t>
      </w:r>
      <w:r>
        <w:rPr>
          <w:rFonts w:hint="eastAsia" w:ascii="宋体" w:hAnsi="宋体" w:eastAsia="方正仿宋_GBK" w:cs="方正仿宋_GBK"/>
          <w:color w:val="000000"/>
          <w:sz w:val="32"/>
          <w:szCs w:val="32"/>
          <w:highlight w:val="none"/>
          <w:lang w:eastAsia="zh-CN"/>
        </w:rPr>
        <w:t>米</w:t>
      </w:r>
      <w:r>
        <w:rPr>
          <w:rFonts w:hint="eastAsia" w:ascii="宋体" w:hAnsi="宋体" w:eastAsia="方正仿宋_GBK" w:cs="方正仿宋_GBK"/>
          <w:color w:val="000000"/>
          <w:sz w:val="32"/>
          <w:szCs w:val="32"/>
          <w:highlight w:val="none"/>
        </w:rPr>
        <w:t>、年均温15—23</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、年降水量600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以上的温和湿润区域，在玉溪、曲靖、临沧等地区种植产量稳定。其鲜草还可直接用于农田绿肥压青，提升土壤有机质含量。</w:t>
      </w:r>
    </w:p>
    <w:p w14:paraId="56363C54">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‘宁草木樨2号’：耐寒性突出的优良品种，植株紧凑，耐低温能力强，在高海拔低温环境下可安全越冬。适宜海拔1200—2600</w:t>
      </w:r>
      <w:r>
        <w:rPr>
          <w:rFonts w:hint="eastAsia" w:ascii="宋体" w:hAnsi="宋体" w:eastAsia="方正仿宋_GBK" w:cs="方正仿宋_GBK"/>
          <w:color w:val="000000"/>
          <w:sz w:val="32"/>
          <w:szCs w:val="32"/>
          <w:highlight w:val="none"/>
          <w:lang w:eastAsia="zh-CN"/>
        </w:rPr>
        <w:t>米</w:t>
      </w:r>
      <w:r>
        <w:rPr>
          <w:rFonts w:hint="eastAsia" w:ascii="宋体" w:hAnsi="宋体" w:eastAsia="方正仿宋_GBK" w:cs="方正仿宋_GBK"/>
          <w:color w:val="000000"/>
          <w:sz w:val="32"/>
          <w:szCs w:val="32"/>
          <w:highlight w:val="none"/>
        </w:rPr>
        <w:t>、年均温12—21</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、年降水量550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以上区域，在迪庆、昭通、丽江等高海拔冷凉地区表现出色，绿期可达220天以上。抗逆性强，对低温、干旱及轻度霜冻适应能力强，常与黑麦草、披碱草等混播</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是滇北高海拔地区生态治理和牧草生产的优选品种。</w:t>
      </w:r>
    </w:p>
    <w:p w14:paraId="4C683265">
      <w:pPr>
        <w:spacing w:before="0" w:after="0" w:line="560" w:lineRule="exact"/>
        <w:ind w:firstLine="643" w:firstLineChars="200"/>
        <w:jc w:val="both"/>
        <w:rPr>
          <w:rFonts w:hint="eastAsia" w:ascii="宋体" w:hAnsi="宋体" w:eastAsia="方正仿宋_GBK" w:cs="方正仿宋_GBK"/>
          <w:b/>
          <w:bCs/>
          <w:color w:val="000000"/>
          <w:sz w:val="32"/>
          <w:szCs w:val="32"/>
          <w:highlight w:val="none"/>
          <w:lang w:eastAsia="zh-CN"/>
        </w:rPr>
      </w:pPr>
      <w:r>
        <w:rPr>
          <w:rFonts w:hint="eastAsia" w:ascii="宋体" w:hAnsi="宋体" w:eastAsia="方正仿宋_GBK" w:cs="方正仿宋_GBK"/>
          <w:b/>
          <w:bCs/>
          <w:color w:val="000000"/>
          <w:sz w:val="32"/>
          <w:szCs w:val="32"/>
          <w:highlight w:val="none"/>
        </w:rPr>
        <w:t>3.播种及</w:t>
      </w:r>
      <w:r>
        <w:rPr>
          <w:rFonts w:hint="eastAsia" w:ascii="宋体" w:hAnsi="宋体" w:eastAsia="方正仿宋_GBK" w:cs="方正仿宋_GBK"/>
          <w:b/>
          <w:bCs/>
          <w:color w:val="000000"/>
          <w:sz w:val="32"/>
          <w:szCs w:val="32"/>
          <w:highlight w:val="none"/>
          <w:lang w:eastAsia="zh-CN"/>
        </w:rPr>
        <w:t>管理</w:t>
      </w:r>
    </w:p>
    <w:p w14:paraId="16CAF59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播种：干热河谷地区9</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10月秋播最佳，滇中滇北地区3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4月春播；播种量1.0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/亩，条播行距30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40</w:t>
      </w:r>
      <w:r>
        <w:rPr>
          <w:rFonts w:hint="eastAsia" w:ascii="宋体" w:hAnsi="宋体" w:eastAsia="方正仿宋_GBK" w:cs="方正仿宋_GBK"/>
          <w:color w:val="auto"/>
          <w:sz w:val="32"/>
          <w:szCs w:val="32"/>
          <w:highlight w:val="none"/>
          <w:lang w:val="en" w:eastAsia="zh-CN"/>
        </w:rPr>
        <w:t>厘米</w:t>
      </w:r>
      <w:r>
        <w:rPr>
          <w:rFonts w:hint="eastAsia" w:ascii="宋体" w:hAnsi="宋体" w:eastAsia="方正仿宋_GBK" w:cs="方正仿宋_GBK"/>
          <w:color w:val="auto"/>
          <w:sz w:val="32"/>
          <w:szCs w:val="32"/>
          <w:highlight w:val="none"/>
        </w:rPr>
        <w:t>，覆土厚度1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eastAsia" w:ascii="宋体" w:hAnsi="宋体" w:eastAsia="方正仿宋_GBK" w:cs="方正仿宋_GBK"/>
          <w:color w:val="auto"/>
          <w:sz w:val="32"/>
          <w:szCs w:val="32"/>
          <w:highlight w:val="none"/>
          <w:lang w:val="en" w:eastAsia="zh-CN"/>
        </w:rPr>
        <w:t>厘米</w:t>
      </w:r>
      <w:r>
        <w:rPr>
          <w:rFonts w:hint="eastAsia" w:ascii="宋体" w:hAnsi="宋体" w:eastAsia="方正仿宋_GBK" w:cs="方正仿宋_GBK"/>
          <w:color w:val="auto"/>
          <w:sz w:val="32"/>
          <w:szCs w:val="32"/>
          <w:highlight w:val="none"/>
        </w:rPr>
        <w:t>（种子顶土能力强），播后镇压以利出苗。</w:t>
      </w:r>
    </w:p>
    <w:p w14:paraId="6C7E9C8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水肥：耐贫瘠性强，播前施过磷酸钙10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/亩即可，苗期若长势较弱可追施尿素1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/亩；耐旱性好，自然降水可满足生长，仅在幼苗期遇极端干旱时补水，积水易导致烂根，需做好排水措施。</w:t>
      </w:r>
    </w:p>
    <w:p w14:paraId="4A08854C">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除杂：苗期易受杂草抑制，可在出苗后3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5叶期人工除草1次，或喷施选择性除草剂防治；株高超过30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后生长优势明显，可快速抑制杂草生长，后期无需频繁管理。</w:t>
      </w:r>
    </w:p>
    <w:p w14:paraId="1F85F207">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混播：常与披碱草、黑麦草等禾本科牧草混播，草木樨占25%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35%，禾本科草占65%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75%，提升草场抗逆性；作绿肥时在初花期翻压，作牧草时在盛花期刈割，刈割后留茬高度5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eastAsia" w:ascii="宋体" w:hAnsi="宋体" w:eastAsia="方正仿宋_GBK" w:cs="方正仿宋_GBK"/>
          <w:color w:val="auto"/>
          <w:sz w:val="32"/>
          <w:szCs w:val="32"/>
          <w:highlight w:val="none"/>
          <w:lang w:val="en" w:eastAsia="zh-CN"/>
        </w:rPr>
        <w:t>厘米</w:t>
      </w:r>
      <w:r>
        <w:rPr>
          <w:rFonts w:hint="eastAsia" w:ascii="宋体" w:hAnsi="宋体" w:eastAsia="方正仿宋_GBK" w:cs="方正仿宋_GBK"/>
          <w:color w:val="auto"/>
          <w:sz w:val="32"/>
          <w:szCs w:val="32"/>
          <w:highlight w:val="none"/>
        </w:rPr>
        <w:t>以利再生。</w:t>
      </w:r>
    </w:p>
    <w:p w14:paraId="58A8AC03">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 xml:space="preserve">（四）光叶紫花苕 </w:t>
      </w:r>
      <w:r>
        <w:rPr>
          <w:rFonts w:hint="eastAsia" w:ascii="宋体" w:hAnsi="宋体" w:eastAsia="方正楷体_GBK" w:cs="方正楷体_GBK"/>
          <w:i/>
          <w:iCs/>
          <w:color w:val="000000"/>
          <w:sz w:val="32"/>
          <w:szCs w:val="32"/>
          <w:highlight w:val="none"/>
        </w:rPr>
        <w:t>Vicia villosa var.</w:t>
      </w:r>
      <w:r>
        <w:rPr>
          <w:rFonts w:hint="eastAsia" w:ascii="宋体" w:hAnsi="宋体" w:eastAsia="方正楷体_GBK" w:cs="方正楷体_GBK"/>
          <w:color w:val="000000"/>
          <w:sz w:val="32"/>
          <w:szCs w:val="32"/>
          <w:highlight w:val="none"/>
        </w:rPr>
        <w:t xml:space="preserve"> glabrata Beck.</w:t>
      </w:r>
    </w:p>
    <w:p w14:paraId="0A403A6F">
      <w:pPr>
        <w:spacing w:line="560" w:lineRule="exact"/>
        <w:ind w:firstLine="643" w:firstLineChars="200"/>
        <w:rPr>
          <w:rFonts w:hint="eastAsia" w:ascii="宋体" w:hAnsi="宋体" w:eastAsia="方正仿宋_GBK" w:cs="方正仿宋_GBK"/>
          <w:b/>
          <w:bCs/>
          <w:color w:val="000000"/>
          <w:sz w:val="32"/>
          <w:szCs w:val="32"/>
          <w:highlight w:val="none"/>
        </w:rPr>
      </w:pPr>
      <w:r>
        <w:rPr>
          <w:rFonts w:hint="eastAsia" w:ascii="宋体" w:hAnsi="宋体" w:eastAsia="方正仿宋_GBK" w:cs="方正仿宋_GBK"/>
          <w:b/>
          <w:bCs/>
          <w:color w:val="000000"/>
          <w:sz w:val="32"/>
          <w:szCs w:val="32"/>
          <w:highlight w:val="none"/>
        </w:rPr>
        <w:t>1.适滇品种</w:t>
      </w:r>
    </w:p>
    <w:p w14:paraId="57E61ECB">
      <w:pPr>
        <w:spacing w:line="560" w:lineRule="exact"/>
        <w:ind w:firstLine="640" w:firstLineChars="200"/>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000000"/>
          <w:sz w:val="32"/>
          <w:szCs w:val="32"/>
          <w:highlight w:val="none"/>
        </w:rPr>
        <w:t>普通光叶紫花苕、‘渝苕1号’、‘川苕3号’、‘云苕2号’、</w:t>
      </w:r>
      <w:r>
        <w:rPr>
          <w:rFonts w:hint="eastAsia" w:ascii="宋体" w:hAnsi="宋体" w:eastAsia="方正仿宋_GBK" w:cs="方正仿宋_GBK"/>
          <w:color w:val="auto"/>
          <w:sz w:val="32"/>
          <w:szCs w:val="32"/>
          <w:highlight w:val="none"/>
        </w:rPr>
        <w:t>‘鄂苕3号’等光叶紫花苕。</w:t>
      </w:r>
    </w:p>
    <w:p w14:paraId="2B46B008">
      <w:pPr>
        <w:spacing w:line="560" w:lineRule="exact"/>
        <w:ind w:firstLine="643" w:firstLineChars="200"/>
        <w:rPr>
          <w:rFonts w:hint="eastAsia" w:ascii="宋体" w:hAnsi="宋体" w:eastAsia="方正仿宋_GBK" w:cs="方正仿宋_GBK"/>
          <w:b/>
          <w:bCs/>
          <w:color w:val="000000"/>
          <w:sz w:val="32"/>
          <w:szCs w:val="32"/>
          <w:highlight w:val="none"/>
        </w:rPr>
      </w:pPr>
      <w:r>
        <w:rPr>
          <w:rFonts w:hint="eastAsia" w:ascii="宋体" w:hAnsi="宋体" w:eastAsia="方正仿宋_GBK" w:cs="方正仿宋_GBK"/>
          <w:b/>
          <w:bCs/>
          <w:color w:val="000000"/>
          <w:sz w:val="32"/>
          <w:szCs w:val="32"/>
          <w:highlight w:val="none"/>
        </w:rPr>
        <w:t>2.品种突出特性</w:t>
      </w:r>
    </w:p>
    <w:p w14:paraId="5D491516">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普通光叶紫花苕：适应性强，耐贫瘠、耐轻度霜冻能力突出，对云南红壤、黄壤及砂壤土适配性好，主根发达且根瘤固氮活性高，能显著提升土壤氮含量。适宜海拔800—2400</w:t>
      </w:r>
      <w:r>
        <w:rPr>
          <w:rFonts w:hint="eastAsia" w:ascii="宋体" w:hAnsi="宋体" w:eastAsia="方正仿宋_GBK" w:cs="方正仿宋_GBK"/>
          <w:color w:val="000000"/>
          <w:sz w:val="32"/>
          <w:szCs w:val="32"/>
          <w:highlight w:val="none"/>
          <w:lang w:eastAsia="zh-CN"/>
        </w:rPr>
        <w:t>米</w:t>
      </w:r>
      <w:r>
        <w:rPr>
          <w:rFonts w:hint="eastAsia" w:ascii="宋体" w:hAnsi="宋体" w:eastAsia="方正仿宋_GBK" w:cs="方正仿宋_GBK"/>
          <w:color w:val="000000"/>
          <w:sz w:val="32"/>
          <w:szCs w:val="32"/>
          <w:highlight w:val="none"/>
        </w:rPr>
        <w:t>、年均温12—23</w:t>
      </w:r>
      <w:r>
        <w:rPr>
          <w:rFonts w:hint="eastAsia" w:ascii="宋体" w:hAnsi="宋体" w:eastAsia="方正仿宋_GBK" w:cs="方正仿宋_GBK"/>
          <w:color w:val="000000"/>
          <w:sz w:val="32"/>
          <w:szCs w:val="32"/>
          <w:highlight w:val="none"/>
          <w:lang w:eastAsia="zh-CN"/>
        </w:rPr>
        <w:t>摄氏度</w:t>
      </w:r>
      <w:r>
        <w:rPr>
          <w:rFonts w:hint="eastAsia" w:ascii="宋体" w:hAnsi="宋体" w:eastAsia="方正仿宋_GBK" w:cs="方正仿宋_GBK"/>
          <w:color w:val="000000"/>
          <w:sz w:val="32"/>
          <w:szCs w:val="32"/>
          <w:highlight w:val="none"/>
        </w:rPr>
        <w:t>、年降水量500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以上区域，在楚雄、大理、曲靖等滇中地区生长稳定，冬季仅上部嫩枝轻微受冻。适用于荒坡生态修复，是低成本、多功能的传统品种，种植技术普及度高。​</w:t>
      </w:r>
    </w:p>
    <w:p w14:paraId="03176BF2">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‘渝苕1号’：优质高产型品种，分枝能力强（单株分枝8—12个），鲜草产量可达2吨/亩・年，茎叶粗蛋白含量达20.3%，适口性优于普通品种，适合青饲或调制青贮饲料。适宜海拔700—2000</w:t>
      </w:r>
      <w:r>
        <w:rPr>
          <w:rFonts w:hint="eastAsia" w:ascii="宋体" w:hAnsi="宋体" w:eastAsia="方正仿宋_GBK" w:cs="方正仿宋_GBK"/>
          <w:color w:val="000000"/>
          <w:sz w:val="32"/>
          <w:szCs w:val="32"/>
          <w:highlight w:val="none"/>
          <w:lang w:eastAsia="zh-CN"/>
        </w:rPr>
        <w:t>米</w:t>
      </w:r>
      <w:r>
        <w:rPr>
          <w:rFonts w:hint="eastAsia" w:ascii="宋体" w:hAnsi="宋体" w:eastAsia="方正仿宋_GBK" w:cs="方正仿宋_GBK"/>
          <w:color w:val="000000"/>
          <w:sz w:val="32"/>
          <w:szCs w:val="32"/>
          <w:highlight w:val="none"/>
        </w:rPr>
        <w:t>、年均温13—24</w:t>
      </w:r>
      <w:r>
        <w:rPr>
          <w:rFonts w:hint="default" w:ascii="宋体" w:hAnsi="宋体" w:eastAsia="方正仿宋_GBK" w:cs="方正仿宋_GBK"/>
          <w:color w:val="000000"/>
          <w:sz w:val="32"/>
          <w:szCs w:val="32"/>
          <w:highlight w:val="none"/>
          <w:lang w:val="en"/>
        </w:rPr>
        <w:t>摄氏度</w:t>
      </w:r>
      <w:r>
        <w:rPr>
          <w:rFonts w:hint="eastAsia" w:ascii="宋体" w:hAnsi="宋体" w:eastAsia="方正仿宋_GBK" w:cs="方正仿宋_GBK"/>
          <w:color w:val="000000"/>
          <w:sz w:val="32"/>
          <w:szCs w:val="32"/>
          <w:highlight w:val="none"/>
        </w:rPr>
        <w:t>、年降水量550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以上区域，在普洱、红河、文山等滇南湿热地区种植表现优异，夏季高温时通过适度灌溉可避免生长停滞。再生能力强，刈割后15—20天可恢复生长。​</w:t>
      </w:r>
    </w:p>
    <w:p w14:paraId="1DA28BB5">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‘川苕3号’：抗逆性突出的品种，耐干旱、耐酸性土壤能力强，对云南酸性红壤（pH5.0—6.5）适配性优，且抗根腐病、白粉病能力强，生长周期内病害发生率低。适宜海拔900—2200</w:t>
      </w:r>
      <w:r>
        <w:rPr>
          <w:rFonts w:hint="eastAsia" w:ascii="宋体" w:hAnsi="宋体" w:eastAsia="方正仿宋_GBK" w:cs="方正仿宋_GBK"/>
          <w:color w:val="000000"/>
          <w:sz w:val="32"/>
          <w:szCs w:val="32"/>
          <w:highlight w:val="none"/>
          <w:lang w:eastAsia="zh-CN"/>
        </w:rPr>
        <w:t>米</w:t>
      </w:r>
      <w:r>
        <w:rPr>
          <w:rFonts w:hint="eastAsia" w:ascii="宋体" w:hAnsi="宋体" w:eastAsia="方正仿宋_GBK" w:cs="方正仿宋_GBK"/>
          <w:color w:val="000000"/>
          <w:sz w:val="32"/>
          <w:szCs w:val="32"/>
          <w:highlight w:val="none"/>
        </w:rPr>
        <w:t>、年均温11—22</w:t>
      </w:r>
      <w:r>
        <w:rPr>
          <w:rFonts w:hint="default" w:ascii="宋体" w:hAnsi="宋体" w:eastAsia="方正仿宋_GBK" w:cs="方正仿宋_GBK"/>
          <w:color w:val="000000"/>
          <w:sz w:val="32"/>
          <w:szCs w:val="32"/>
          <w:highlight w:val="none"/>
          <w:lang w:val="en"/>
        </w:rPr>
        <w:t>摄氏度</w:t>
      </w:r>
      <w:r>
        <w:rPr>
          <w:rFonts w:hint="eastAsia" w:ascii="宋体" w:hAnsi="宋体" w:eastAsia="方正仿宋_GBK" w:cs="方正仿宋_GBK"/>
          <w:color w:val="000000"/>
          <w:sz w:val="32"/>
          <w:szCs w:val="32"/>
          <w:highlight w:val="none"/>
        </w:rPr>
        <w:t>、年降水量450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以上区域，在丽江、昭通、保山等滇北半干旱地区种植稳定，无需频繁灌溉即可正常生长。主要用于干旱地区绿肥、坡地水土保持，鲜草还可直接压青提升土壤肥力，适配云南旱作农业区的生态与生产需求。​</w:t>
      </w:r>
    </w:p>
    <w:p w14:paraId="73EE16D1">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‘云苕2号’：云南本地选育品种，针对性适配云南立体气候，耐寒性与耐热性均衡，在高海拔冷凉区和低海拔温热区均可生长。适宜海拔1000—2500</w:t>
      </w:r>
      <w:r>
        <w:rPr>
          <w:rFonts w:hint="eastAsia" w:ascii="宋体" w:hAnsi="宋体" w:eastAsia="方正仿宋_GBK" w:cs="方正仿宋_GBK"/>
          <w:color w:val="000000"/>
          <w:sz w:val="32"/>
          <w:szCs w:val="32"/>
          <w:highlight w:val="none"/>
          <w:lang w:eastAsia="zh-CN"/>
        </w:rPr>
        <w:t>米</w:t>
      </w:r>
      <w:r>
        <w:rPr>
          <w:rFonts w:hint="eastAsia" w:ascii="宋体" w:hAnsi="宋体" w:eastAsia="方正仿宋_GBK" w:cs="方正仿宋_GBK"/>
          <w:color w:val="000000"/>
          <w:sz w:val="32"/>
          <w:szCs w:val="32"/>
          <w:highlight w:val="none"/>
        </w:rPr>
        <w:t>、年均温12—23</w:t>
      </w:r>
      <w:r>
        <w:rPr>
          <w:rFonts w:hint="default" w:ascii="宋体" w:hAnsi="宋体" w:eastAsia="方正仿宋_GBK" w:cs="方正仿宋_GBK"/>
          <w:color w:val="000000"/>
          <w:sz w:val="32"/>
          <w:szCs w:val="32"/>
          <w:highlight w:val="none"/>
          <w:lang w:val="en"/>
        </w:rPr>
        <w:t>摄氏度</w:t>
      </w:r>
      <w:r>
        <w:rPr>
          <w:rFonts w:hint="eastAsia" w:ascii="宋体" w:hAnsi="宋体" w:eastAsia="方正仿宋_GBK" w:cs="方正仿宋_GBK"/>
          <w:color w:val="000000"/>
          <w:sz w:val="32"/>
          <w:szCs w:val="32"/>
          <w:highlight w:val="none"/>
        </w:rPr>
        <w:t>、年降水量500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以上区域，在迪庆中低海拔区、玉溪、临沧等多地种植表现优异，绿期可达210天以上。适合道路边坡防护及生态观光园区植被建植，同时兼顾牧草与生态功能。</w:t>
      </w:r>
    </w:p>
    <w:p w14:paraId="6496075C">
      <w:pPr>
        <w:spacing w:before="0" w:after="0" w:line="560" w:lineRule="exact"/>
        <w:ind w:firstLine="640" w:firstLineChars="200"/>
        <w:jc w:val="both"/>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auto"/>
          <w:sz w:val="32"/>
          <w:szCs w:val="32"/>
          <w:highlight w:val="none"/>
        </w:rPr>
        <w:t>‘鄂苕3号’：耐湿热型品种，叶片蜡质层厚，抗病虫害能力强，在云南滇南湿热地区生长旺盛，不易烂根，年产干草可达0.6吨/亩・年。适宜海拔600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1800</w:t>
      </w:r>
      <w:r>
        <w:rPr>
          <w:rFonts w:hint="eastAsia" w:ascii="宋体" w:hAnsi="宋体" w:eastAsia="方正仿宋_GBK" w:cs="方正仿宋_GBK"/>
          <w:color w:val="auto"/>
          <w:sz w:val="32"/>
          <w:szCs w:val="32"/>
          <w:highlight w:val="none"/>
          <w:lang w:eastAsia="zh-C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、年降水量800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以上区域，普洱、红河、西双版纳等地区种植效果好，夏季高温高湿环境下仍能正常结荚。适用于滇南农田绿肥、林下覆盖、优质牧草生产，兼顾生态与经济价值。</w:t>
      </w:r>
    </w:p>
    <w:p w14:paraId="3DC07360">
      <w:pPr>
        <w:spacing w:line="560" w:lineRule="exact"/>
        <w:ind w:firstLine="643"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b/>
          <w:bCs/>
          <w:color w:val="000000"/>
          <w:sz w:val="32"/>
          <w:szCs w:val="32"/>
          <w:highlight w:val="none"/>
        </w:rPr>
        <w:t>3.播种及</w:t>
      </w:r>
      <w:r>
        <w:rPr>
          <w:rFonts w:hint="eastAsia" w:ascii="宋体" w:hAnsi="宋体" w:eastAsia="方正仿宋_GBK" w:cs="方正仿宋_GBK"/>
          <w:b/>
          <w:bCs/>
          <w:color w:val="000000"/>
          <w:sz w:val="32"/>
          <w:szCs w:val="32"/>
          <w:highlight w:val="none"/>
          <w:lang w:eastAsia="zh-CN"/>
        </w:rPr>
        <w:t>管理</w:t>
      </w:r>
      <w:r>
        <w:rPr>
          <w:rFonts w:hint="eastAsia" w:ascii="宋体" w:hAnsi="宋体" w:eastAsia="方正仿宋_GBK" w:cs="方正仿宋_GBK"/>
          <w:color w:val="000000"/>
          <w:sz w:val="32"/>
          <w:szCs w:val="32"/>
          <w:highlight w:val="none"/>
        </w:rPr>
        <w:t>​</w:t>
      </w:r>
    </w:p>
    <w:p w14:paraId="27141166">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播种：滇中滇北9—10月秋播，滇南2—3月春播或10—11月秋播；播种量1.0—1.5</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/亩，条播行距30—40</w:t>
      </w:r>
      <w:r>
        <w:rPr>
          <w:rFonts w:hint="default" w:ascii="宋体" w:hAnsi="宋体" w:eastAsia="方正仿宋_GBK" w:cs="方正仿宋_GBK"/>
          <w:color w:val="000000"/>
          <w:sz w:val="32"/>
          <w:szCs w:val="32"/>
          <w:highlight w:val="none"/>
          <w:lang w:val="en"/>
        </w:rPr>
        <w:t>厘米</w:t>
      </w:r>
      <w:r>
        <w:rPr>
          <w:rFonts w:hint="eastAsia" w:ascii="宋体" w:hAnsi="宋体" w:eastAsia="方正仿宋_GBK" w:cs="方正仿宋_GBK"/>
          <w:color w:val="000000"/>
          <w:sz w:val="32"/>
          <w:szCs w:val="32"/>
          <w:highlight w:val="none"/>
        </w:rPr>
        <w:t>，撒播盖1—2</w:t>
      </w:r>
      <w:r>
        <w:rPr>
          <w:rFonts w:hint="default" w:ascii="宋体" w:hAnsi="宋体" w:eastAsia="方正仿宋_GBK" w:cs="方正仿宋_GBK"/>
          <w:color w:val="000000"/>
          <w:sz w:val="32"/>
          <w:szCs w:val="32"/>
          <w:highlight w:val="none"/>
          <w:lang w:val="en"/>
        </w:rPr>
        <w:t>厘米</w:t>
      </w:r>
      <w:r>
        <w:rPr>
          <w:rFonts w:hint="eastAsia" w:ascii="宋体" w:hAnsi="宋体" w:eastAsia="方正仿宋_GBK" w:cs="方正仿宋_GBK"/>
          <w:color w:val="000000"/>
          <w:sz w:val="32"/>
          <w:szCs w:val="32"/>
          <w:highlight w:val="none"/>
        </w:rPr>
        <w:t>薄土。​</w:t>
      </w:r>
    </w:p>
    <w:p w14:paraId="77C530B5">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水肥：播前施过磷酸钙20—30</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/亩作基肥，苗期追氯化钾5—8</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/亩；绿肥种植无需额外追肥。​</w:t>
      </w:r>
    </w:p>
    <w:p w14:paraId="06B8C8D0">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杂草：苗期人工除草或用精喹禾灵防禾本科杂草。​</w:t>
      </w:r>
    </w:p>
    <w:p w14:paraId="58CD519E">
      <w:pPr>
        <w:spacing w:line="560" w:lineRule="exact"/>
        <w:ind w:firstLine="640" w:firstLineChars="200"/>
        <w:rPr>
          <w:rFonts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混播：与黑麦草等禾本科草混播，光叶紫花苕占30%—40%；可单播，株高30—40</w:t>
      </w:r>
      <w:r>
        <w:rPr>
          <w:rFonts w:hint="default" w:ascii="宋体" w:hAnsi="宋体" w:eastAsia="方正仿宋_GBK" w:cs="方正仿宋_GBK"/>
          <w:color w:val="000000"/>
          <w:sz w:val="32"/>
          <w:szCs w:val="32"/>
          <w:highlight w:val="none"/>
          <w:lang w:val="en"/>
        </w:rPr>
        <w:t>厘米</w:t>
      </w:r>
      <w:r>
        <w:rPr>
          <w:rFonts w:hint="eastAsia" w:ascii="宋体" w:hAnsi="宋体" w:eastAsia="方正仿宋_GBK" w:cs="方正仿宋_GBK"/>
          <w:color w:val="000000"/>
          <w:sz w:val="32"/>
          <w:szCs w:val="32"/>
          <w:highlight w:val="none"/>
        </w:rPr>
        <w:t>时刈割覆</w:t>
      </w:r>
      <w:r>
        <w:rPr>
          <w:rFonts w:hint="eastAsia" w:ascii="宋体" w:hAnsi="宋体" w:eastAsia="方正仿宋_GBK" w:cs="方正仿宋_GBK"/>
          <w:color w:val="000000"/>
          <w:sz w:val="32"/>
          <w:szCs w:val="32"/>
          <w:highlight w:val="none"/>
          <w:lang w:eastAsia="zh-CN"/>
        </w:rPr>
        <w:t>盖地表或</w:t>
      </w:r>
      <w:r>
        <w:rPr>
          <w:rFonts w:hint="eastAsia" w:ascii="宋体" w:hAnsi="宋体" w:eastAsia="方正仿宋_GBK" w:cs="方正仿宋_GBK"/>
          <w:color w:val="000000"/>
          <w:sz w:val="32"/>
          <w:szCs w:val="32"/>
          <w:highlight w:val="none"/>
        </w:rPr>
        <w:t>树盘。</w:t>
      </w:r>
    </w:p>
    <w:p w14:paraId="498AA393">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（五）红三叶</w:t>
      </w:r>
      <w:r>
        <w:rPr>
          <w:rFonts w:hint="eastAsia" w:ascii="宋体" w:hAnsi="宋体" w:eastAsia="方正楷体_GBK" w:cs="方正楷体_GBK"/>
          <w:i/>
          <w:iCs/>
          <w:color w:val="000000"/>
          <w:sz w:val="32"/>
          <w:szCs w:val="32"/>
          <w:highlight w:val="none"/>
        </w:rPr>
        <w:t>Trifolium pratense</w:t>
      </w:r>
      <w:r>
        <w:rPr>
          <w:rFonts w:hint="eastAsia" w:ascii="宋体" w:hAnsi="宋体" w:eastAsia="方正楷体_GBK" w:cs="方正楷体_GBK"/>
          <w:color w:val="000000"/>
          <w:sz w:val="32"/>
          <w:szCs w:val="32"/>
          <w:highlight w:val="none"/>
        </w:rPr>
        <w:t xml:space="preserve"> L.</w:t>
      </w:r>
    </w:p>
    <w:p w14:paraId="6D4E0294">
      <w:pPr>
        <w:spacing w:before="0" w:after="0" w:line="560" w:lineRule="exact"/>
        <w:ind w:firstLine="643" w:firstLineChars="200"/>
        <w:jc w:val="both"/>
        <w:rPr>
          <w:rFonts w:hint="eastAsia" w:ascii="宋体" w:hAnsi="宋体" w:eastAsia="方正仿宋_GBK" w:cs="方正仿宋_GBK"/>
          <w:b/>
          <w:bCs/>
          <w:color w:val="000000"/>
          <w:sz w:val="32"/>
          <w:szCs w:val="32"/>
          <w:highlight w:val="none"/>
        </w:rPr>
      </w:pPr>
      <w:r>
        <w:rPr>
          <w:rFonts w:hint="eastAsia" w:ascii="宋体" w:hAnsi="宋体" w:eastAsia="方正仿宋_GBK" w:cs="方正仿宋_GBK"/>
          <w:b/>
          <w:bCs/>
          <w:color w:val="000000"/>
          <w:sz w:val="32"/>
          <w:szCs w:val="32"/>
          <w:highlight w:val="none"/>
        </w:rPr>
        <w:t>1.适滇品种</w:t>
      </w:r>
    </w:p>
    <w:p w14:paraId="7EACAF6B">
      <w:pPr>
        <w:spacing w:before="0" w:after="0" w:line="560" w:lineRule="exact"/>
        <w:ind w:firstLine="640" w:firstLineChars="200"/>
        <w:jc w:val="both"/>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普通红三叶、</w:t>
      </w:r>
      <w:r>
        <w:rPr>
          <w:rFonts w:hint="eastAsia" w:ascii="宋体" w:hAnsi="宋体" w:eastAsia="方正仿宋_GBK" w:cs="方正仿宋_GBK"/>
          <w:color w:val="auto"/>
          <w:sz w:val="32"/>
          <w:szCs w:val="32"/>
          <w:highlight w:val="none"/>
        </w:rPr>
        <w:t>‘巴东’红三叶、‘瑞芙’（Rivendel）、‘滇红1号’等红三叶。</w:t>
      </w:r>
    </w:p>
    <w:p w14:paraId="1E384731">
      <w:pPr>
        <w:spacing w:line="560" w:lineRule="exact"/>
        <w:ind w:firstLine="643" w:firstLineChars="200"/>
        <w:rPr>
          <w:rFonts w:hint="eastAsia" w:ascii="宋体" w:hAnsi="宋体" w:eastAsia="方正仿宋_GBK" w:cs="方正仿宋_GBK"/>
          <w:b/>
          <w:bCs/>
          <w:color w:val="000000"/>
          <w:sz w:val="32"/>
          <w:szCs w:val="32"/>
          <w:highlight w:val="none"/>
        </w:rPr>
      </w:pPr>
      <w:r>
        <w:rPr>
          <w:rFonts w:hint="eastAsia" w:ascii="宋体" w:hAnsi="宋体" w:eastAsia="方正仿宋_GBK" w:cs="方正仿宋_GBK"/>
          <w:b/>
          <w:bCs/>
          <w:color w:val="000000"/>
          <w:sz w:val="32"/>
          <w:szCs w:val="32"/>
          <w:highlight w:val="none"/>
        </w:rPr>
        <w:t>2.品种突出特性</w:t>
      </w:r>
    </w:p>
    <w:p w14:paraId="081A8C9F">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普通红三叶：适应性较强，耐阴凉、耐轻度盐碱，对云南红壤、棕壤适配性好，主根粗壮且根瘤固氮能力强，能改善土壤结构。</w:t>
      </w:r>
      <w:r>
        <w:rPr>
          <w:rFonts w:hint="eastAsia" w:ascii="宋体" w:hAnsi="宋体" w:eastAsia="方正仿宋_GBK" w:cs="方正仿宋_GBK"/>
          <w:color w:val="auto"/>
          <w:sz w:val="32"/>
          <w:szCs w:val="32"/>
          <w:highlight w:val="none"/>
        </w:rPr>
        <w:t>株型直立，便于刈割，年产干草可达0.6吨/亩・年。</w:t>
      </w:r>
      <w:r>
        <w:rPr>
          <w:rFonts w:hint="eastAsia" w:ascii="宋体" w:hAnsi="宋体" w:eastAsia="方正仿宋_GBK" w:cs="方正仿宋_GBK"/>
          <w:color w:val="000000"/>
          <w:sz w:val="32"/>
          <w:szCs w:val="32"/>
          <w:highlight w:val="none"/>
        </w:rPr>
        <w:t>适宜海拔1000—2800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、年均温10—22</w:t>
      </w:r>
      <w:r>
        <w:rPr>
          <w:rFonts w:hint="default" w:ascii="宋体" w:hAnsi="宋体" w:eastAsia="方正仿宋_GBK" w:cs="方正仿宋_GBK"/>
          <w:color w:val="000000"/>
          <w:sz w:val="32"/>
          <w:szCs w:val="32"/>
          <w:highlight w:val="none"/>
          <w:lang w:val="en"/>
        </w:rPr>
        <w:t>摄氏度</w:t>
      </w:r>
      <w:r>
        <w:rPr>
          <w:rFonts w:hint="eastAsia" w:ascii="宋体" w:hAnsi="宋体" w:eastAsia="方正仿宋_GBK" w:cs="方正仿宋_GBK"/>
          <w:color w:val="000000"/>
          <w:sz w:val="32"/>
          <w:szCs w:val="32"/>
          <w:highlight w:val="none"/>
        </w:rPr>
        <w:t>、年降水量600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以上区域，在大理、丽江、昭通等滇西北冷凉地区生长稳定，夏季高温时需适度遮阴。适用于高山草场建植、牛羊放牧饲料及生态修复。</w:t>
      </w:r>
    </w:p>
    <w:p w14:paraId="4529A1BC">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‘巴东’：耐寒性突出，在高海拔地区可安全越冬，叶片蛋白质含量达21.5%，适口性优于普通品种，牛羊采食率高，年产干草可达0.75吨/亩・年。适宜海拔1200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以上区域，丽江、昭通、迪庆等冷凉地区表现优异，绿期长达250天以上。主要用于高寒山地生态修复</w:t>
      </w:r>
      <w:r>
        <w:rPr>
          <w:rFonts w:hint="eastAsia" w:ascii="宋体" w:hAnsi="宋体" w:eastAsia="方正仿宋_GBK" w:cs="方正仿宋_GBK"/>
          <w:color w:val="auto"/>
          <w:sz w:val="32"/>
          <w:szCs w:val="32"/>
          <w:highlight w:val="none"/>
          <w:lang w:eastAsia="zh-CN"/>
        </w:rPr>
        <w:t>和</w:t>
      </w:r>
      <w:r>
        <w:rPr>
          <w:rFonts w:hint="eastAsia" w:ascii="宋体" w:hAnsi="宋体" w:eastAsia="方正仿宋_GBK" w:cs="方正仿宋_GBK"/>
          <w:color w:val="auto"/>
          <w:sz w:val="32"/>
          <w:szCs w:val="32"/>
          <w:highlight w:val="none"/>
        </w:rPr>
        <w:t>高海拔人工放牧草场</w:t>
      </w:r>
      <w:r>
        <w:rPr>
          <w:rFonts w:hint="eastAsia" w:ascii="宋体" w:hAnsi="宋体" w:eastAsia="方正仿宋_GBK" w:cs="方正仿宋_GBK"/>
          <w:color w:val="auto"/>
          <w:sz w:val="32"/>
          <w:szCs w:val="32"/>
          <w:highlight w:val="none"/>
          <w:lang w:eastAsia="zh-CN"/>
        </w:rPr>
        <w:t>建设。</w:t>
      </w:r>
    </w:p>
    <w:p w14:paraId="1C318F4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‘瑞芙’：引进大叶品种，分蘖能力强，株高可达80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，干物质产量高，抗白粉病、锈病能力突出，在云南多湿地区生长稳定，年产干草可达0.8吨/亩・年。适宜海拔900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23</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、年降水量800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以上区域，玉溪、曲靖、文山等中南部地区种植广泛，再生速度快。</w:t>
      </w:r>
    </w:p>
    <w:p w14:paraId="55174B47">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‘滇红1号’：云南本地选育品种，针对性优化了对高原强光的适应性，叶片厚且有光泽，抗逆性强，在昼夜温差大的区域生物量稳定，年产干草可达0.7吨/亩・年。适宜海拔1000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以上区域，曲靖会泽、大理洱源、丽江永胜等地区均可种植，花期长，也是优良蜜源植物。适用于山地放牧草场、生态边坡防护，适配云南本地养殖与农业需求。</w:t>
      </w:r>
    </w:p>
    <w:p w14:paraId="7CF5C234">
      <w:pPr>
        <w:spacing w:line="560" w:lineRule="exact"/>
        <w:ind w:firstLine="643" w:firstLineChars="200"/>
        <w:rPr>
          <w:rFonts w:hint="eastAsia" w:ascii="宋体" w:hAnsi="宋体" w:eastAsia="方正仿宋_GBK" w:cs="方正仿宋_GBK"/>
          <w:b/>
          <w:bCs/>
          <w:color w:val="000000"/>
          <w:sz w:val="32"/>
          <w:szCs w:val="32"/>
          <w:highlight w:val="none"/>
          <w:lang w:eastAsia="zh-CN"/>
        </w:rPr>
      </w:pPr>
      <w:r>
        <w:rPr>
          <w:rFonts w:hint="eastAsia" w:ascii="宋体" w:hAnsi="宋体" w:eastAsia="方正仿宋_GBK" w:cs="方正仿宋_GBK"/>
          <w:b/>
          <w:bCs/>
          <w:color w:val="000000"/>
          <w:sz w:val="32"/>
          <w:szCs w:val="32"/>
          <w:highlight w:val="none"/>
        </w:rPr>
        <w:t>3.播种及</w:t>
      </w:r>
      <w:r>
        <w:rPr>
          <w:rFonts w:hint="eastAsia" w:ascii="宋体" w:hAnsi="宋体" w:eastAsia="方正仿宋_GBK" w:cs="方正仿宋_GBK"/>
          <w:b/>
          <w:bCs/>
          <w:color w:val="000000"/>
          <w:sz w:val="32"/>
          <w:szCs w:val="32"/>
          <w:highlight w:val="none"/>
          <w:lang w:eastAsia="zh-CN"/>
        </w:rPr>
        <w:t>管理</w:t>
      </w:r>
    </w:p>
    <w:p w14:paraId="7749FE7D">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播种：滇西北高海拔区3—4月春播或8—9月秋播，滇中滇南地区2—3月春播或10—11月秋播；播种量0.8—1.2</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/亩，条播行距25—35</w:t>
      </w:r>
      <w:r>
        <w:rPr>
          <w:rFonts w:hint="default" w:ascii="宋体" w:hAnsi="宋体" w:eastAsia="方正仿宋_GBK" w:cs="方正仿宋_GBK"/>
          <w:color w:val="000000"/>
          <w:sz w:val="32"/>
          <w:szCs w:val="32"/>
          <w:highlight w:val="none"/>
          <w:lang w:val="en"/>
        </w:rPr>
        <w:t>厘米</w:t>
      </w:r>
      <w:r>
        <w:rPr>
          <w:rFonts w:hint="eastAsia" w:ascii="宋体" w:hAnsi="宋体" w:eastAsia="方正仿宋_GBK" w:cs="方正仿宋_GBK"/>
          <w:color w:val="000000"/>
          <w:sz w:val="32"/>
          <w:szCs w:val="32"/>
          <w:highlight w:val="none"/>
        </w:rPr>
        <w:t>，撒播后覆盖1—1.5</w:t>
      </w:r>
      <w:r>
        <w:rPr>
          <w:rFonts w:hint="default" w:ascii="宋体" w:hAnsi="宋体" w:eastAsia="方正仿宋_GBK" w:cs="方正仿宋_GBK"/>
          <w:color w:val="000000"/>
          <w:sz w:val="32"/>
          <w:szCs w:val="32"/>
          <w:highlight w:val="none"/>
          <w:lang w:val="en"/>
        </w:rPr>
        <w:t>厘米</w:t>
      </w:r>
      <w:r>
        <w:rPr>
          <w:rFonts w:hint="eastAsia" w:ascii="宋体" w:hAnsi="宋体" w:eastAsia="方正仿宋_GBK" w:cs="方正仿宋_GBK"/>
          <w:color w:val="000000"/>
          <w:sz w:val="32"/>
          <w:szCs w:val="32"/>
          <w:highlight w:val="none"/>
        </w:rPr>
        <w:t>薄土，播后轻镇压。</w:t>
      </w:r>
    </w:p>
    <w:p w14:paraId="29A12330">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水肥：播前施腐熟有机肥1000—1500</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/亩+过磷酸钙25</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/亩作基肥，苗期追施尿素3—5</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/亩促苗，刈割后追施氯化钾5—8</w:t>
      </w:r>
      <w:r>
        <w:rPr>
          <w:rFonts w:hint="default" w:ascii="宋体" w:hAnsi="宋体" w:eastAsia="方正仿宋_GBK" w:cs="方正仿宋_GBK"/>
          <w:color w:val="000000"/>
          <w:sz w:val="32"/>
          <w:szCs w:val="32"/>
          <w:highlight w:val="none"/>
          <w:lang w:val="en" w:eastAsia="zh-CN"/>
        </w:rPr>
        <w:t>千克</w:t>
      </w:r>
      <w:r>
        <w:rPr>
          <w:rFonts w:hint="eastAsia" w:ascii="宋体" w:hAnsi="宋体" w:eastAsia="方正仿宋_GBK" w:cs="方正仿宋_GBK"/>
          <w:color w:val="000000"/>
          <w:sz w:val="32"/>
          <w:szCs w:val="32"/>
          <w:highlight w:val="none"/>
        </w:rPr>
        <w:t>/亩恢复生长；干旱季节需及时灌溉，避免植株枯萎。</w:t>
      </w:r>
    </w:p>
    <w:p w14:paraId="1AC3DCFF">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除杂：苗期杂草竞争力弱，需人工拔除阔叶杂草，禾本科杂草可喷施精喹禾灵防治，生长期避免杂草与植株争夺养分。</w:t>
      </w:r>
    </w:p>
    <w:p w14:paraId="7B91C0A3">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混播：与黑麦草、披碱草等禾本科牧草混播，红三叶占25%—35%；单播时需注意合理密植，防止倒伏，刈割适期为初花期，此时营养价值与产量兼顾。</w:t>
      </w:r>
    </w:p>
    <w:p w14:paraId="216D5032">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w:t>
      </w:r>
      <w:r>
        <w:rPr>
          <w:rFonts w:hint="eastAsia" w:ascii="宋体" w:hAnsi="宋体" w:eastAsia="方正楷体_GBK" w:cs="方正楷体_GBK"/>
          <w:color w:val="000000"/>
          <w:sz w:val="32"/>
          <w:szCs w:val="32"/>
          <w:highlight w:val="none"/>
          <w:lang w:eastAsia="zh-CN"/>
        </w:rPr>
        <w:t>六</w:t>
      </w:r>
      <w:r>
        <w:rPr>
          <w:rFonts w:hint="eastAsia" w:ascii="宋体" w:hAnsi="宋体" w:eastAsia="方正楷体_GBK" w:cs="方正楷体_GBK"/>
          <w:color w:val="000000"/>
          <w:sz w:val="32"/>
          <w:szCs w:val="32"/>
          <w:highlight w:val="none"/>
        </w:rPr>
        <w:t xml:space="preserve">）箭舌豌豆 </w:t>
      </w:r>
      <w:r>
        <w:rPr>
          <w:rFonts w:hint="eastAsia" w:ascii="宋体" w:hAnsi="宋体" w:eastAsia="方正楷体_GBK" w:cs="方正楷体_GBK"/>
          <w:i/>
          <w:iCs/>
          <w:color w:val="000000"/>
          <w:sz w:val="32"/>
          <w:szCs w:val="32"/>
          <w:highlight w:val="none"/>
        </w:rPr>
        <w:t>Vicia sativa</w:t>
      </w:r>
      <w:r>
        <w:rPr>
          <w:rFonts w:hint="eastAsia" w:ascii="宋体" w:hAnsi="宋体" w:eastAsia="方正楷体_GBK" w:cs="方正楷体_GBK"/>
          <w:color w:val="000000"/>
          <w:sz w:val="32"/>
          <w:szCs w:val="32"/>
          <w:highlight w:val="none"/>
        </w:rPr>
        <w:t xml:space="preserve"> L.</w:t>
      </w:r>
    </w:p>
    <w:p w14:paraId="370FFA50">
      <w:pPr>
        <w:spacing w:line="560" w:lineRule="exact"/>
        <w:ind w:firstLine="643" w:firstLineChars="200"/>
        <w:rPr>
          <w:rFonts w:hint="eastAsia" w:ascii="宋体" w:hAnsi="宋体" w:eastAsia="方正仿宋_GBK" w:cs="方正仿宋_GBK"/>
          <w:b/>
          <w:bCs/>
          <w:color w:val="000000"/>
          <w:sz w:val="32"/>
          <w:szCs w:val="32"/>
          <w:highlight w:val="none"/>
        </w:rPr>
      </w:pPr>
      <w:r>
        <w:rPr>
          <w:rFonts w:hint="eastAsia" w:ascii="宋体" w:hAnsi="宋体" w:eastAsia="方正仿宋_GBK" w:cs="方正仿宋_GBK"/>
          <w:b/>
          <w:bCs/>
          <w:color w:val="000000"/>
          <w:sz w:val="32"/>
          <w:szCs w:val="32"/>
          <w:highlight w:val="none"/>
        </w:rPr>
        <w:t>1.适滇品种</w:t>
      </w:r>
    </w:p>
    <w:p w14:paraId="1A5E1652">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‘苏箭3号’、‘兰箭1号’、‘云箭1号’等</w:t>
      </w:r>
      <w:r>
        <w:rPr>
          <w:rFonts w:hint="eastAsia" w:ascii="宋体" w:hAnsi="宋体" w:eastAsia="方正楷体_GBK" w:cs="方正楷体_GBK"/>
          <w:color w:val="000000"/>
          <w:sz w:val="32"/>
          <w:szCs w:val="32"/>
          <w:highlight w:val="none"/>
        </w:rPr>
        <w:t>箭舌豌豆</w:t>
      </w:r>
      <w:r>
        <w:rPr>
          <w:rFonts w:hint="eastAsia" w:ascii="宋体" w:hAnsi="宋体" w:eastAsia="方正仿宋_GBK" w:cs="方正仿宋_GBK"/>
          <w:color w:val="000000"/>
          <w:sz w:val="32"/>
          <w:szCs w:val="32"/>
          <w:highlight w:val="none"/>
        </w:rPr>
        <w:t>。</w:t>
      </w:r>
    </w:p>
    <w:p w14:paraId="79BC2BC1">
      <w:pPr>
        <w:pStyle w:val="3"/>
        <w:widowControl/>
        <w:spacing w:before="0" w:beforeAutospacing="0" w:after="0" w:afterAutospacing="0" w:line="560" w:lineRule="exact"/>
        <w:ind w:firstLine="643" w:firstLineChars="200"/>
        <w:jc w:val="both"/>
        <w:rPr>
          <w:rFonts w:hint="eastAsia" w:ascii="宋体" w:hAnsi="宋体" w:eastAsia="方正仿宋_GBK" w:cs="方正仿宋_GBK"/>
          <w:b/>
          <w:bCs/>
          <w:color w:val="auto"/>
          <w:sz w:val="32"/>
          <w:szCs w:val="32"/>
          <w:highlight w:val="none"/>
        </w:rPr>
      </w:pPr>
      <w:r>
        <w:rPr>
          <w:rFonts w:hint="eastAsia" w:ascii="宋体" w:hAnsi="宋体" w:eastAsia="方正仿宋_GBK" w:cs="方正仿宋_GBK"/>
          <w:b/>
          <w:bCs/>
          <w:color w:val="000000"/>
          <w:sz w:val="32"/>
          <w:szCs w:val="32"/>
          <w:highlight w:val="none"/>
        </w:rPr>
        <w:t>2.</w:t>
      </w:r>
      <w:r>
        <w:rPr>
          <w:rStyle w:val="6"/>
          <w:rFonts w:hint="eastAsia" w:ascii="宋体" w:hAnsi="宋体" w:eastAsia="方正仿宋_GBK" w:cs="方正仿宋_GBK"/>
          <w:b/>
          <w:bCs/>
          <w:color w:val="0F1115"/>
          <w:sz w:val="32"/>
          <w:szCs w:val="32"/>
          <w:highlight w:val="none"/>
          <w:shd w:val="clear" w:color="auto" w:fill="FFFFFF"/>
        </w:rPr>
        <w:t>品种突出特性</w:t>
      </w:r>
    </w:p>
    <w:p w14:paraId="47312216">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‘苏箭3号’：分枝能力强，结荚率高，鲜草产量较普通品种高30%，粗蛋白含量19.2%，适口性好，可鲜喂或青贮，年产干草可达0.78吨/亩・年。适宜海拔700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以上区域，昆明、玉溪、曲靖等滇中农业区表现突出，生长周期80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100天，可多季种植。</w:t>
      </w:r>
    </w:p>
    <w:p w14:paraId="4B26436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‘兰箭2号’：耐冷型品种，在低温环境下仍能正常发芽生长，幼苗抗冻性强，在高海拔地区可安全越冬，年产干草可达0.65吨/亩・年。适宜海拔1200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以上区域，丽江、昭通、迪庆等冷凉地区表现优异，可作为冬季绿肥与牧草。适用于生态修复先锋草种</w:t>
      </w:r>
      <w:r>
        <w:rPr>
          <w:rFonts w:hint="eastAsia" w:ascii="宋体" w:hAnsi="宋体" w:eastAsia="方正仿宋_GBK" w:cs="方正仿宋_GBK"/>
          <w:color w:val="auto"/>
          <w:sz w:val="32"/>
          <w:szCs w:val="32"/>
          <w:highlight w:val="none"/>
          <w:lang w:eastAsia="zh-CN"/>
        </w:rPr>
        <w:t>和</w:t>
      </w:r>
      <w:r>
        <w:rPr>
          <w:rFonts w:hint="eastAsia" w:ascii="宋体" w:hAnsi="宋体" w:eastAsia="方正仿宋_GBK" w:cs="方正仿宋_GBK"/>
          <w:color w:val="auto"/>
          <w:sz w:val="32"/>
          <w:szCs w:val="32"/>
          <w:highlight w:val="none"/>
        </w:rPr>
        <w:t>冬季草场补充。</w:t>
      </w:r>
    </w:p>
    <w:p w14:paraId="17A22FC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‘云箭1号’：耐干热能力强，在干热河谷地区生长旺盛，不易早衰，茎秆粗壮，抗倒伏能力强，年产干草可达0.7吨/亩・年。适宜海拔600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1900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27</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、年降水量450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以上区域，楚雄元谋、丽江华坪、红河元阳等干热地区种植广泛，夏季高温仍能正常生长。适用于干热河谷绿肥、短期人工草场、边坡快速防护。</w:t>
      </w:r>
    </w:p>
    <w:p w14:paraId="4C6021CE">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7BBB26C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播种：滇中滇北地区9</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10月秋播，滇南地区10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11月或2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3月播种，高海拔地区4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5月春播；播种量4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/亩，条播行距20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，撒播后覆盖1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细土，播后镇压。</w:t>
      </w:r>
    </w:p>
    <w:p w14:paraId="5817EDAC">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水肥：耐贫瘠，播前施过磷酸钙15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/亩即可，苗期一般无需追肥；耐旱性中等，生长期遇干旱需补水1次，忌积水，低洼地需做好排水措施。</w:t>
      </w:r>
    </w:p>
    <w:p w14:paraId="6FA5C3EE">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除杂：苗期易受杂草抑制，需人工拔除杂草，或在播种前喷施除草剂进行土壤处理；株高达到20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后生长速度加快，竞争力增强，可抑制杂草。</w:t>
      </w:r>
    </w:p>
    <w:p w14:paraId="61E3783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利用：作绿肥时在初花期翻压，作牧草时在盛花期刈割，每年可刈割2次，刈割后留茬高度5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；与燕麦、黑麦混播可提升饲料品质，箭舌豌豆占50%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60%。</w:t>
      </w:r>
    </w:p>
    <w:p w14:paraId="01529241">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w:t>
      </w:r>
      <w:r>
        <w:rPr>
          <w:rFonts w:hint="eastAsia" w:ascii="宋体" w:hAnsi="宋体" w:eastAsia="方正楷体_GBK" w:cs="方正楷体_GBK"/>
          <w:color w:val="000000"/>
          <w:sz w:val="32"/>
          <w:szCs w:val="32"/>
          <w:highlight w:val="none"/>
          <w:lang w:eastAsia="zh-CN"/>
        </w:rPr>
        <w:t>七</w:t>
      </w:r>
      <w:r>
        <w:rPr>
          <w:rFonts w:hint="eastAsia" w:ascii="宋体" w:hAnsi="宋体" w:eastAsia="方正楷体_GBK" w:cs="方正楷体_GBK"/>
          <w:color w:val="000000"/>
          <w:sz w:val="32"/>
          <w:szCs w:val="32"/>
          <w:highlight w:val="none"/>
        </w:rPr>
        <w:t>）紫花苜蓿</w:t>
      </w:r>
      <w:r>
        <w:rPr>
          <w:rFonts w:hint="eastAsia" w:ascii="宋体" w:hAnsi="宋体" w:eastAsia="方正楷体_GBK" w:cs="方正楷体_GBK"/>
          <w:i/>
          <w:iCs/>
          <w:color w:val="000000"/>
          <w:sz w:val="32"/>
          <w:szCs w:val="32"/>
          <w:highlight w:val="none"/>
        </w:rPr>
        <w:t>Medicago sativa</w:t>
      </w:r>
      <w:r>
        <w:rPr>
          <w:rFonts w:hint="eastAsia" w:ascii="宋体" w:hAnsi="宋体" w:eastAsia="方正楷体_GBK" w:cs="方正楷体_GBK"/>
          <w:color w:val="000000"/>
          <w:sz w:val="32"/>
          <w:szCs w:val="32"/>
          <w:highlight w:val="none"/>
        </w:rPr>
        <w:t xml:space="preserve"> L.</w:t>
      </w:r>
    </w:p>
    <w:p w14:paraId="6A40C923">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4F3255D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‘甘农3号’、‘阿尔冈金’、‘滇苜1号’、‘WL343HQ’</w:t>
      </w:r>
      <w:r>
        <w:rPr>
          <w:rFonts w:hint="eastAsia" w:ascii="宋体" w:hAnsi="宋体" w:eastAsia="方正仿宋_GBK" w:cs="方正仿宋_GBK"/>
          <w:color w:val="auto"/>
          <w:sz w:val="32"/>
          <w:szCs w:val="32"/>
          <w:highlight w:val="none"/>
          <w:lang w:eastAsia="zh-CN"/>
        </w:rPr>
        <w:t>等</w:t>
      </w:r>
      <w:r>
        <w:rPr>
          <w:rFonts w:hint="eastAsia" w:ascii="宋体" w:hAnsi="宋体" w:eastAsia="方正仿宋_GBK" w:cs="方正仿宋_GBK"/>
          <w:color w:val="auto"/>
          <w:sz w:val="32"/>
          <w:szCs w:val="32"/>
          <w:highlight w:val="none"/>
        </w:rPr>
        <w:t>紫花苜蓿。</w:t>
      </w:r>
    </w:p>
    <w:p w14:paraId="1E86892A">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2247DBD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普通紫花苜蓿：多年生品种，根系发达，固氮能力极强，对云南中性至微碱性土壤适应性好，再生能力强，是优质多年生牧草，年产干草可达0.85吨/亩・年。适宜海拔800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23</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以上区域，曲靖、楚雄、大理等滇中地区生长稳定，一次种植可利用3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5年。适用于多年生人工草场建植。</w:t>
      </w:r>
    </w:p>
    <w:p w14:paraId="1DD429A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‘甘农3号’：甘肃选育品种，耐寒性突出，根系深达2米以上，在高海拔冷凉地区可安全越冬，抗寒等级达</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，粗蛋白含量达23.8%，年产干草可达1.0吨/亩・年。适宜海拔1200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以上区域，丽江、昭通、迪庆等冷凉地区表现优异，再生速度快，每年可刈割4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5次。适配云南高寒地区养殖需求。</w:t>
      </w:r>
    </w:p>
    <w:p w14:paraId="08E1074A">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‘阿尔冈金’：引进品种，耐热耐湿能力强，在云南滇南湿热地区不易烂根，抗白粉病、根腐病能力突出，叶片保留率高，适口性好，年产干草可达0.95吨/亩・年。适宜海拔600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、年降水量800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以上区域，普洱、红河、西双版纳等湿热地区广泛种植，绿期长达280天以上。适用于滇南多年生草场、林下牧草种植。</w:t>
      </w:r>
    </w:p>
    <w:p w14:paraId="44CAE61B">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‘滇苜1号’紫花苜蓿：针对性优化了对云南红壤的适应性，耐酸性增强，在pH值5.5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8.0的土壤中均可生长，抗逆性强，年产干草可达0.9吨/亩・年。适宜海拔900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2300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以上区域，昆明周边、玉溪、文山等地区种植效果好，一次种植可利用5年以上。适用于云南多年生草场、生态修复工程，兼顾产量与适应性。</w:t>
      </w:r>
    </w:p>
    <w:p w14:paraId="73DD21D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‘WL343HQ’紫花苜蓿：高产品种，分蘖能力极强，株型直立，刈割方便，干物质产量较普通品种高40%，抗病虫害能力全面，在云南各地均表现稳定，年产干草可达1.1吨/亩・年。适宜海拔700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以上区域，是规模化牧草基地的首选品种。</w:t>
      </w:r>
    </w:p>
    <w:p w14:paraId="41173C1C">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054758A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播种：滇中滇西地区3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4月春播或8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9月秋播，滇南地区10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11月播种，高海拔地区以春播为主；播种量1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/亩，条播行距30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，覆土厚度0.5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，播前需精细整地，种子可接种苜蓿根瘤菌。</w:t>
      </w:r>
    </w:p>
    <w:p w14:paraId="741F1BA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水肥：播前施过磷酸钙30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/亩作基肥，苗期追施尿素2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/亩，刈割后追施磷钾肥5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/亩；耐旱性强，但生长期保持土壤湿润可提升产量，忌积水，需做好排水。</w:t>
      </w:r>
    </w:p>
    <w:p w14:paraId="0D4F0DB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除杂：苗期生长缓慢，是除草关键期，人工拔除阔叶杂草，禾本科杂草可喷施精喹禾灵防治；成株后竞争力强，杂草难以滋生，每年除草1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2次即可。</w:t>
      </w:r>
    </w:p>
    <w:p w14:paraId="219A7BDA">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刈割：在初花期至盛花期刈割，留茬高度5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，每年可刈割3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5次，连续刈割3年后需进行深耕更新；常与羊草、冰草混播，紫花苜蓿占20%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30%，提升草场多年生稳定性。</w:t>
      </w:r>
    </w:p>
    <w:p w14:paraId="09795AC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混播：常与披碱草、黑麦草等禾本科牧草混播，草木樨占25%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35%，禾本科草占65%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75%，提升草场抗逆性；作绿肥时在初花期翻压，作牧草时在盛花期刈割，刈割后留茬高度5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以利再生。</w:t>
      </w:r>
    </w:p>
    <w:p w14:paraId="3CEEC0BA">
      <w:pPr>
        <w:spacing w:line="560" w:lineRule="exact"/>
        <w:ind w:firstLine="640" w:firstLineChars="200"/>
        <w:rPr>
          <w:rFonts w:hint="eastAsia" w:ascii="宋体" w:hAnsi="宋体" w:eastAsia="方正黑体_GBK" w:cs="方正黑体_GBK"/>
          <w:color w:val="000000"/>
          <w:sz w:val="32"/>
          <w:szCs w:val="32"/>
          <w:highlight w:val="none"/>
        </w:rPr>
      </w:pPr>
      <w:r>
        <w:rPr>
          <w:rFonts w:hint="eastAsia" w:ascii="宋体" w:hAnsi="宋体" w:eastAsia="方正黑体_GBK" w:cs="方正黑体_GBK"/>
          <w:color w:val="000000"/>
          <w:sz w:val="32"/>
          <w:szCs w:val="32"/>
          <w:highlight w:val="none"/>
        </w:rPr>
        <w:t>二、禾本科植物</w:t>
      </w:r>
    </w:p>
    <w:p w14:paraId="24BCA447">
      <w:pPr>
        <w:spacing w:before="0" w:after="0" w:line="560" w:lineRule="exact"/>
        <w:ind w:firstLine="640" w:firstLineChars="200"/>
        <w:jc w:val="both"/>
        <w:outlineLvl w:val="0"/>
        <w:rPr>
          <w:rFonts w:hint="eastAsia" w:ascii="宋体" w:hAnsi="宋体" w:eastAsia="方正楷体_GBK" w:cs="方正楷体_GBK"/>
          <w:b w:val="0"/>
          <w:bCs/>
          <w:color w:val="auto"/>
          <w:sz w:val="32"/>
          <w:szCs w:val="32"/>
          <w:highlight w:val="none"/>
        </w:rPr>
      </w:pPr>
      <w:r>
        <w:rPr>
          <w:rFonts w:hint="eastAsia" w:ascii="宋体" w:hAnsi="宋体" w:eastAsia="方正楷体_GBK" w:cs="方正楷体_GBK"/>
          <w:b w:val="0"/>
          <w:bCs/>
          <w:color w:val="auto"/>
          <w:sz w:val="32"/>
          <w:szCs w:val="32"/>
          <w:highlight w:val="none"/>
        </w:rPr>
        <w:t>（一）草地早熟禾</w:t>
      </w:r>
      <w:r>
        <w:rPr>
          <w:rFonts w:hint="eastAsia" w:ascii="宋体" w:hAnsi="宋体" w:eastAsia="方正楷体_GBK" w:cs="方正楷体_GBK"/>
          <w:b w:val="0"/>
          <w:bCs/>
          <w:i/>
          <w:iCs/>
          <w:color w:val="auto"/>
          <w:sz w:val="32"/>
          <w:szCs w:val="32"/>
          <w:highlight w:val="none"/>
        </w:rPr>
        <w:t>Poa pratensis</w:t>
      </w:r>
      <w:r>
        <w:rPr>
          <w:rFonts w:hint="eastAsia" w:ascii="宋体" w:hAnsi="宋体" w:eastAsia="方正楷体_GBK" w:cs="方正楷体_GBK"/>
          <w:b w:val="0"/>
          <w:bCs/>
          <w:color w:val="auto"/>
          <w:sz w:val="32"/>
          <w:szCs w:val="32"/>
          <w:highlight w:val="none"/>
        </w:rPr>
        <w:t xml:space="preserve"> L. subsp. Pratensis</w:t>
      </w:r>
    </w:p>
    <w:p w14:paraId="6FF1FFE7">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40C1ADBB">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普通草地早熟禾、‘肯塔基’、‘午夜’、‘滇早熟禾1号’等草地早熟禾。</w:t>
      </w:r>
    </w:p>
    <w:p w14:paraId="6496AEF1">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1AE3D63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普通草地早熟禾：匍匐茎发达，分蘖能力强，形成的草坪致密均匀，耐践踏性好，对云南中性至微酸性土壤适应性较强，年产干草可达0.35吨/亩・年。适宜海拔1200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以上区域，丽江、昭通、迪庆等冷凉地区生长稳定，夏季高温时会出现短暂休眠。适用于高海拔区域绿化。</w:t>
      </w:r>
    </w:p>
    <w:p w14:paraId="23898AC4">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‘肯塔基’：耐寒性突出，在</w:t>
      </w:r>
      <w:r>
        <w:rPr>
          <w:rFonts w:hint="eastAsia" w:ascii="宋体" w:hAnsi="宋体" w:eastAsia="方正仿宋_GBK" w:cs="方正仿宋_GBK"/>
          <w:color w:val="auto"/>
          <w:sz w:val="32"/>
          <w:szCs w:val="32"/>
          <w:highlight w:val="none"/>
          <w:lang w:val="en-US" w:eastAsia="zh-CN"/>
        </w:rPr>
        <w:t>零下</w:t>
      </w:r>
      <w:r>
        <w:rPr>
          <w:rFonts w:hint="eastAsia" w:ascii="宋体" w:hAnsi="宋体" w:eastAsia="方正仿宋_GBK" w:cs="方正仿宋_GBK"/>
          <w:color w:val="auto"/>
          <w:sz w:val="32"/>
          <w:szCs w:val="32"/>
          <w:highlight w:val="none"/>
        </w:rPr>
        <w:t>15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低温下可安全越冬，叶片质地细腻，绿期长达270天以上，抗锈病能力强，年产干草可达0.4吨/亩・年。适宜海拔1500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以上区域，香格里拉、丽江古城周边、昭通大山包等地区种植效果优异。主要用于高海拔景观草坪。</w:t>
      </w:r>
    </w:p>
    <w:p w14:paraId="7A09220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‘午夜’：矮生型品种，株高整齐，无需频繁修剪，耐阴性优于普通品种，在疏林下仍能正常生长，叶片深绿有光泽，观赏价值高，年产干草可达0.32吨/亩・年。适宜海拔1000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以上区域，昆明世博园、大理古城绿地等多地有应用，夏季高温高湿时需注意通风防病害。适用于林下覆盖草坪。</w:t>
      </w:r>
    </w:p>
    <w:p w14:paraId="729C23E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‘滇早熟禾1号’：针对性提升了对高原强光和昼夜温差的适应性，耐旱性较引进品种强，在半干旱区域仍能保持较好长势，年产干草可达0.38吨/亩・年。适宜海拔1100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19</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以上区域，曲靖会泽、楚雄武定等地区表现稳定，绿期250天以上。适用于山地绿化、道路边坡防护草坪、高海拔绿地建植。</w:t>
      </w:r>
    </w:p>
    <w:p w14:paraId="5C59AAA4">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7A6CE907">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播种：滇中滇北高海拔地区3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4月春播，滇西冷凉地区8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9月秋播为宜；播种量8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/亩（单播草坪），混播时可降至3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/亩，条播或撒播均可，覆土厚度0.2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0.5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，播后轻镇压并保持土壤湿润。</w:t>
      </w:r>
    </w:p>
    <w:p w14:paraId="4B16C7FE">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水肥：播前施腐熟有机肥1000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/亩+过磷酸钙20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/亩作基肥，苗期追施尿素3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/亩促苗；喜湿润，生长期需保持土壤含水量60%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70%，干旱时及时灌溉，夏季高温时宜早晚浇水，避免正午高温灌溉。</w:t>
      </w:r>
    </w:p>
    <w:p w14:paraId="4736DBC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除杂：苗期生长缓慢，易受杂草侵害，阔叶杂草人工拔除，禾本科杂草可喷施恶唑禾草灵防治；成坪后草坪致密，杂草难以侵入，每年春季返青后除草1次即可。</w:t>
      </w:r>
    </w:p>
    <w:p w14:paraId="5FC38614">
      <w:pPr>
        <w:spacing w:line="560" w:lineRule="exact"/>
        <w:ind w:firstLine="640" w:firstLineChars="200"/>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修剪：单播草坪留茬高度2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，生长期每月修剪1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2次，修剪后及时清理草屑；常与黑麦草、翦股颖混播，草地早熟禾占40%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50%，可延长绿期并提升草坪稳定性。</w:t>
      </w:r>
    </w:p>
    <w:p w14:paraId="4D00C3C6">
      <w:pPr>
        <w:spacing w:before="0" w:after="0" w:line="560" w:lineRule="exact"/>
        <w:ind w:firstLine="640" w:firstLineChars="200"/>
        <w:jc w:val="both"/>
        <w:outlineLvl w:val="0"/>
        <w:rPr>
          <w:rFonts w:hint="eastAsia" w:ascii="宋体" w:hAnsi="宋体" w:eastAsia="方正楷体_GBK" w:cs="方正楷体_GBK"/>
          <w:bCs/>
          <w:color w:val="auto"/>
          <w:sz w:val="32"/>
          <w:szCs w:val="32"/>
          <w:highlight w:val="none"/>
        </w:rPr>
      </w:pPr>
      <w:r>
        <w:rPr>
          <w:rFonts w:hint="eastAsia" w:ascii="宋体" w:hAnsi="宋体" w:eastAsia="方正楷体_GBK" w:cs="方正楷体_GBK"/>
          <w:bCs/>
          <w:color w:val="auto"/>
          <w:sz w:val="32"/>
          <w:szCs w:val="32"/>
          <w:highlight w:val="none"/>
        </w:rPr>
        <w:t>（二）百喜草</w:t>
      </w:r>
      <w:r>
        <w:rPr>
          <w:rFonts w:hint="eastAsia" w:ascii="宋体" w:hAnsi="宋体" w:eastAsia="方正楷体_GBK" w:cs="方正楷体_GBK"/>
          <w:bCs/>
          <w:i/>
          <w:iCs/>
          <w:color w:val="auto"/>
          <w:sz w:val="32"/>
          <w:szCs w:val="32"/>
          <w:highlight w:val="none"/>
        </w:rPr>
        <w:t>Paspalum notatum</w:t>
      </w:r>
      <w:r>
        <w:rPr>
          <w:rFonts w:hint="eastAsia" w:ascii="宋体" w:hAnsi="宋体" w:eastAsia="方正楷体_GBK" w:cs="方正楷体_GBK"/>
          <w:bCs/>
          <w:color w:val="auto"/>
          <w:sz w:val="32"/>
          <w:szCs w:val="32"/>
          <w:highlight w:val="none"/>
        </w:rPr>
        <w:t xml:space="preserve"> Flüggé</w:t>
      </w:r>
    </w:p>
    <w:p w14:paraId="6A5E159A">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2E23842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普通百喜草</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‘普拉蒂尼’、‘肯塔基328’（Kentucky328）、‘云喜草1号’等百喜草。</w:t>
      </w:r>
    </w:p>
    <w:p w14:paraId="4105DC89">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792B54BC">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普通百喜草：根系发达，具强大的固土能力，耐干旱、耐贫瘠，对云南红壤、黄壤及砂质土壤适应性好，生长旺盛，年产干草可达0.6吨/亩・年。适宜海拔600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以上区域，滇中、滇南及干热河谷地区生长稳定，冬季轻度枯黄，绿期达240天以上。适用于道路边坡防护、生态修复、荒山绿化，及低养护放牧草场建植。</w:t>
      </w:r>
    </w:p>
    <w:p w14:paraId="5DA484A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‘普拉蒂尼’：叶片柔软，适口性优于普通品种，粗蛋白含量达12.8%，牛羊喜食，再生能力强，在频繁放牧后仍能快速恢复，年产干草可达0.8吨/亩・年。适宜海拔700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1900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以上区域，普洱、文山、西双版纳等滇南地区广泛种植，耐湿热能力突出。主要用于滇南放牧草场及生态防护工程。</w:t>
      </w:r>
    </w:p>
    <w:p w14:paraId="0DC9CAC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‘肯塔基328’：草坪型品种，株型低矮整齐，覆盖速度快，耐践踏性强，病虫害少，养护成本低，叶片翠绿有光泽，观赏价值较高，年产干草可达0.55吨/亩・年。适宜海拔800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以上区域，昆明、玉溪、曲靖等城市的道路绿化带、公园绿地均有应用，夏季高温生长旺盛。</w:t>
      </w:r>
    </w:p>
    <w:p w14:paraId="752B52B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‘云喜草1号’：针对性提升了对高原干旱环境的适应性，根系深达1.2米以上，耐旱性强，在半干旱区域仍能保持较好覆盖度，年产干草可达0.7吨/亩・年。适宜海拔900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23</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以上区域，楚雄、大理、丽江等地区表现优异，固土防沙效果好。适用于山地边坡防护、干旱山地生态修复、低成本放牧草场。</w:t>
      </w:r>
    </w:p>
    <w:p w14:paraId="2966F4ED">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250EDF5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播种：滇南地区2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3月春播或10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11月秋播，干热河谷地区5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6月雨季播种最佳；播种量3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/亩，条播行距35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，撒播后覆盖1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细土，播后镇压，也可采用分株繁殖（每亩需种株120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w:t>
      </w:r>
    </w:p>
    <w:p w14:paraId="05D5A2C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水肥：耐贫瘠，播前施过磷酸钙15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/亩作基肥即可，苗期若长势差可追施尿素2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/亩；耐旱性强，自然降水基本满足需求，仅长期干旱时补水1次，忌积水，雨季需及时排水防烂根。</w:t>
      </w:r>
    </w:p>
    <w:p w14:paraId="7AABD96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除杂：苗期生长较慢，需人工拔除阔叶杂草，禾本科杂草可喷施精喹禾灵防治；株高达到30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后生长优势明显，可快速覆盖抑制杂草，后期无需频繁除草。</w:t>
      </w:r>
    </w:p>
    <w:p w14:paraId="080B067E">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利用：牧草型在抽穗期刈割，留茬高度8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，每年可刈割2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3次；草坪型留茬高度4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，生长旺季每月修剪1次；与光叶紫花苕混播时，百喜草占60%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70%，提升草场营养均衡性。</w:t>
      </w:r>
    </w:p>
    <w:p w14:paraId="07DF74B2">
      <w:pPr>
        <w:pStyle w:val="3"/>
        <w:widowControl/>
        <w:shd w:val="clear" w:color="auto" w:fill="FFFFFF"/>
        <w:spacing w:before="0" w:beforeAutospacing="0" w:after="0" w:afterAutospacing="0" w:line="560" w:lineRule="exact"/>
        <w:ind w:firstLine="640" w:firstLineChars="200"/>
        <w:jc w:val="both"/>
        <w:rPr>
          <w:rFonts w:hint="eastAsia" w:ascii="宋体" w:hAnsi="宋体" w:eastAsia="方正楷体_GBK" w:cs="方正楷体_GBK"/>
          <w:color w:val="0F1115"/>
          <w:sz w:val="32"/>
          <w:szCs w:val="32"/>
          <w:highlight w:val="none"/>
        </w:rPr>
      </w:pPr>
      <w:r>
        <w:rPr>
          <w:rStyle w:val="6"/>
          <w:rFonts w:hint="eastAsia" w:ascii="宋体" w:hAnsi="宋体" w:eastAsia="方正楷体_GBK" w:cs="方正楷体_GBK"/>
          <w:b w:val="0"/>
          <w:color w:val="0F1115"/>
          <w:sz w:val="32"/>
          <w:szCs w:val="32"/>
          <w:highlight w:val="none"/>
          <w:shd w:val="clear" w:color="auto" w:fill="FFFFFF"/>
        </w:rPr>
        <w:t>（三）非洲狗尾草</w:t>
      </w:r>
      <w:r>
        <w:rPr>
          <w:rStyle w:val="6"/>
          <w:rFonts w:hint="eastAsia" w:ascii="宋体" w:hAnsi="宋体" w:eastAsia="方正楷体_GBK" w:cs="方正楷体_GBK"/>
          <w:b w:val="0"/>
          <w:i/>
          <w:iCs/>
          <w:color w:val="0F1115"/>
          <w:sz w:val="32"/>
          <w:szCs w:val="32"/>
          <w:highlight w:val="none"/>
          <w:shd w:val="clear" w:color="auto" w:fill="FFFFFF"/>
        </w:rPr>
        <w:t>Setaria sphacelata</w:t>
      </w:r>
      <w:r>
        <w:rPr>
          <w:rStyle w:val="6"/>
          <w:rFonts w:hint="eastAsia" w:ascii="宋体" w:hAnsi="宋体" w:eastAsia="方正楷体_GBK" w:cs="方正楷体_GBK"/>
          <w:b w:val="0"/>
          <w:color w:val="0F1115"/>
          <w:sz w:val="32"/>
          <w:szCs w:val="32"/>
          <w:highlight w:val="none"/>
          <w:shd w:val="clear" w:color="auto" w:fill="FFFFFF"/>
        </w:rPr>
        <w:t xml:space="preserve"> Stapf ex Massey</w:t>
      </w:r>
    </w:p>
    <w:p w14:paraId="207513C9">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0A5D683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普通非洲狗尾草</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‘纳罗克’（Narok）、‘莫特’（Mott）、‘云狗尾1号’</w:t>
      </w:r>
      <w:r>
        <w:rPr>
          <w:rFonts w:hint="eastAsia" w:ascii="宋体" w:hAnsi="宋体" w:eastAsia="方正仿宋_GBK" w:cs="方正仿宋_GBK"/>
          <w:color w:val="auto"/>
          <w:sz w:val="32"/>
          <w:szCs w:val="32"/>
          <w:highlight w:val="none"/>
          <w:lang w:eastAsia="zh-CN"/>
        </w:rPr>
        <w:t>等</w:t>
      </w:r>
      <w:r>
        <w:rPr>
          <w:rFonts w:hint="eastAsia" w:ascii="宋体" w:hAnsi="宋体" w:eastAsia="方正仿宋_GBK" w:cs="方正仿宋_GBK"/>
          <w:color w:val="auto"/>
          <w:sz w:val="32"/>
          <w:szCs w:val="32"/>
          <w:highlight w:val="none"/>
        </w:rPr>
        <w:t>非洲狗尾草。</w:t>
      </w:r>
    </w:p>
    <w:p w14:paraId="0445FFDB">
      <w:pPr>
        <w:spacing w:before="0" w:after="0" w:line="560" w:lineRule="exact"/>
        <w:ind w:firstLine="643" w:firstLineChars="200"/>
        <w:jc w:val="both"/>
        <w:outlineLvl w:val="1"/>
        <w:rPr>
          <w:rFonts w:hint="eastAsia" w:ascii="宋体" w:hAnsi="宋体" w:eastAsia="方正仿宋_GBK" w:cs="方正仿宋_GBK"/>
          <w:b/>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19027E7C">
      <w:pPr>
        <w:spacing w:before="0" w:after="0" w:line="560" w:lineRule="exact"/>
        <w:ind w:firstLine="640"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普通非洲狗尾草：耐旱耐贫瘠，生长旺盛，对云南干热河谷及山地红壤适应性好，分蘖能力极强，形成密集草丛，年产干草可达0.7吨/亩・年。适宜海拔600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27</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以上区域，楚雄元谋、丽江华坪、红河元阳等干热地区生长稳定，夏季高温仍能正常生长。适用于干热河谷生态治理、荒山绿化、低成本人工草场建植。</w:t>
      </w:r>
    </w:p>
    <w:p w14:paraId="4F6035B4">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‘纳罗克’：叶片柔软，适口性好，粗蛋白含量达12.5%，牛羊喜食，再生能力强，在频繁刈割或放牧后仍能快速恢复，年产干草可达0.95吨/亩・年。适宜海拔700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1900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以上区域，普洱、文山、西双版纳等滇南地区广泛种植，每年可刈割3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4次。主要用于滇南放牧草场及林下牧草种植。</w:t>
      </w:r>
    </w:p>
    <w:p w14:paraId="16E8D37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‘莫特’：耐涝性突出，在低洼多湿区域仍能正常生长，抗锈病、叶斑病能力强，茎秆粗壮，抗倒伏，年产干草可达0.85吨/亩・年。适宜海拔800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23</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以上区域，曲靖、玉溪、大理等滇中多雨地区表现优异，不易烂根。适用于多雨山地草场、河滩地生态修复。</w:t>
      </w:r>
    </w:p>
    <w:p w14:paraId="7916465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‘云狗尾1号’：针对性优化了对高原气候的适应性，在昼夜温差大的区域生物量稳定，叶片保留率高，不易枯黄，年产干草可达0.8吨/亩・年。适宜海拔900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以上区域，昆明周边、曲靖会泽、丽江永胜等地区均可种植，一次种植可利用5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7年。适用于山地放牧草场、道路边坡防护、退化山地生态修复，适配云南立体气候。</w:t>
      </w:r>
    </w:p>
    <w:p w14:paraId="7E177152">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2E673AD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播种：干热河谷地区6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7月雨季播种最佳，滇中地区3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4月春播或8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9月秋播；播种量2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/亩，条播行距40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，撒播后覆盖1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细土，播后镇压，可与豆科牧草混播。</w:t>
      </w:r>
    </w:p>
    <w:p w14:paraId="50DDFD9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水肥：耐贫瘠，播前施过磷酸钙15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/亩作基肥即可，苗期若长势差可追施尿素2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/亩；耐旱性强，自然降水基本满足需求，仅长期干旱时补水1次，忌积水。</w:t>
      </w:r>
    </w:p>
    <w:p w14:paraId="7C77268B">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除杂：苗期生长较慢，需人工拔除杂草，或在播种前喷施除草剂进行土壤处理；株高达到50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后生长优势明显，可抑制杂草滋生，后期无需频繁除草。</w:t>
      </w:r>
    </w:p>
    <w:p w14:paraId="710217CB">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利用：在抽穗期刈割，留茬高度10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，每年可刈割2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3次；作放牧草场时，轮牧间隔30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40天，避免过度啃食；与百脉根、草木樨混播时，非洲狗尾草占60%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w:t>
      </w:r>
    </w:p>
    <w:p w14:paraId="1FA508D6">
      <w:pPr>
        <w:pStyle w:val="3"/>
        <w:widowControl/>
        <w:shd w:val="clear" w:color="auto" w:fill="FFFFFF"/>
        <w:spacing w:before="0" w:beforeAutospacing="0" w:after="0" w:afterAutospacing="0" w:line="560" w:lineRule="exact"/>
        <w:ind w:firstLine="640" w:firstLineChars="200"/>
        <w:jc w:val="both"/>
        <w:rPr>
          <w:rFonts w:hint="eastAsia" w:ascii="宋体" w:hAnsi="宋体" w:eastAsia="方正楷体_GBK" w:cs="方正楷体_GBK"/>
          <w:color w:val="0F1115"/>
          <w:sz w:val="32"/>
          <w:szCs w:val="32"/>
          <w:highlight w:val="none"/>
        </w:rPr>
      </w:pPr>
      <w:r>
        <w:rPr>
          <w:rStyle w:val="6"/>
          <w:rFonts w:hint="eastAsia" w:ascii="宋体" w:hAnsi="宋体" w:eastAsia="方正楷体_GBK" w:cs="方正楷体_GBK"/>
          <w:b w:val="0"/>
          <w:color w:val="0F1115"/>
          <w:sz w:val="32"/>
          <w:szCs w:val="32"/>
          <w:highlight w:val="none"/>
          <w:shd w:val="clear" w:color="auto" w:fill="FFFFFF"/>
        </w:rPr>
        <w:t>（四）伏生臂形草</w:t>
      </w:r>
      <w:r>
        <w:rPr>
          <w:rStyle w:val="6"/>
          <w:rFonts w:hint="eastAsia" w:ascii="宋体" w:hAnsi="宋体" w:eastAsia="方正楷体_GBK" w:cs="方正楷体_GBK"/>
          <w:b w:val="0"/>
          <w:i/>
          <w:iCs/>
          <w:color w:val="0F1115"/>
          <w:sz w:val="32"/>
          <w:szCs w:val="32"/>
          <w:highlight w:val="none"/>
          <w:shd w:val="clear" w:color="auto" w:fill="FFFFFF"/>
        </w:rPr>
        <w:t>Brachiaria decumbens</w:t>
      </w:r>
      <w:r>
        <w:rPr>
          <w:rStyle w:val="6"/>
          <w:rFonts w:hint="eastAsia" w:ascii="宋体" w:hAnsi="宋体" w:eastAsia="方正楷体_GBK" w:cs="方正楷体_GBK"/>
          <w:b w:val="0"/>
          <w:color w:val="0F1115"/>
          <w:sz w:val="32"/>
          <w:szCs w:val="32"/>
          <w:highlight w:val="none"/>
          <w:shd w:val="clear" w:color="auto" w:fill="FFFFFF"/>
        </w:rPr>
        <w:t xml:space="preserve"> Stapf</w:t>
      </w:r>
    </w:p>
    <w:p w14:paraId="471619CF">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66D5CBFE">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‘威恩’、‘格拉姆’、‘云臂形1号’、普通伏生臂形草。</w:t>
      </w:r>
    </w:p>
    <w:p w14:paraId="12248DC2">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17F12397">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普通伏生臂形草：匍匐生长，覆盖能力极强，对云南酸性红壤、黄壤适应性好，耐贫瘠，能有效防止水土流失，年产干草可达0.65吨/亩・年。适宜海拔600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以上区域，普洱、红河、文山等滇南地区生长旺盛，冬季呈半常绿状态。适用于滇南山区水土保持、林下覆盖、边坡防护，及放牧草场建植。</w:t>
      </w:r>
    </w:p>
    <w:p w14:paraId="3282548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‘威恩’：叶片宽大，鲜草产量高，粗蛋白含量达11.8%，适口性优于普通品种，牛羊采食率高，再生速度快，年产干草可达0.85吨/亩・年。适宜海拔700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1700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以上区域，西双版纳、临沧、德宏等湿热地区种植广泛，在林下荫蔽环境下仍能正常生长。主要用于林下牧草种植及生态防护。</w:t>
      </w:r>
    </w:p>
    <w:p w14:paraId="13EAE2E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‘格拉姆’：耐酸性极强，在pH值4.5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5.5的强酸性土壤中仍能正常生长，抗根腐病能力突出，根系发达，固土效果好，年产干草可达0.7吨/亩・年。适宜海拔800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1900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以上区域，曲靖南部、玉溪元江等酸性土壤区域表现优异，能改善土壤结构。适用于酸性贫瘠山地生态修复、低投入人工草场。</w:t>
      </w:r>
    </w:p>
    <w:p w14:paraId="44E0043B">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‘云臂形1号’：耐干热能力提升，在滇中半干热区域生长稳定，不易早衰，匍匐茎着地生根能力强，覆盖速度快，年产干草可达0.75吨/亩・年。适宜海拔700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以上区域，楚雄、大理南部、文山北部等地区均可种植，绿期达240天以上。适用于山地边坡防护、放牧草场混播。</w:t>
      </w:r>
    </w:p>
    <w:p w14:paraId="2964E772">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7359AEC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播种：滇南地区3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4月春播或9</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10月秋播，干热区域在雨季初期（5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6月）播种最佳；播种量2.5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/亩，条播行距35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，撒播后覆盖1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细土，播后镇压。</w:t>
      </w:r>
    </w:p>
    <w:p w14:paraId="28C2B0E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水肥：播前施腐熟农家肥800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/亩或过磷酸钙20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/亩作基肥，苗期追施尿素2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/亩；耐旱性中等，生长期遇干旱需补水1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2次，忌积水，雨季及时排水。</w:t>
      </w:r>
    </w:p>
    <w:p w14:paraId="049A961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除杂：苗期生长较慢，需人工拔除阔叶杂草，禾本科杂草可喷施精喹禾灵防治；株高达到30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后匍匐生长，竞争力增强，可快速覆盖抑制杂草。</w:t>
      </w:r>
    </w:p>
    <w:p w14:paraId="7146321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利用混播：在孕穗期刈割，留茬高度8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，每年可刈割2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3次；作放牧草场时，适宜轮牧，避免集中啃食；与光叶紫花苕混播时，伏生臂形草占60%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70%，提升草场营养均衡性。</w:t>
      </w:r>
    </w:p>
    <w:p w14:paraId="03628E7A">
      <w:pPr>
        <w:pStyle w:val="3"/>
        <w:widowControl/>
        <w:shd w:val="clear" w:color="auto" w:fill="FFFFFF"/>
        <w:spacing w:before="0" w:beforeAutospacing="0" w:after="0" w:afterAutospacing="0" w:line="560" w:lineRule="exact"/>
        <w:ind w:firstLine="640" w:firstLineChars="200"/>
        <w:jc w:val="both"/>
        <w:rPr>
          <w:rStyle w:val="6"/>
          <w:rFonts w:hint="eastAsia" w:ascii="宋体" w:hAnsi="宋体" w:eastAsia="方正楷体_GBK" w:cs="方正楷体_GBK"/>
          <w:b w:val="0"/>
          <w:color w:val="0F1115"/>
          <w:sz w:val="32"/>
          <w:szCs w:val="32"/>
          <w:highlight w:val="none"/>
          <w:shd w:val="clear" w:color="auto" w:fill="FFFFFF"/>
        </w:rPr>
      </w:pPr>
      <w:r>
        <w:rPr>
          <w:rStyle w:val="6"/>
          <w:rFonts w:hint="eastAsia" w:ascii="宋体" w:hAnsi="宋体" w:eastAsia="方正楷体_GBK" w:cs="方正楷体_GBK"/>
          <w:b w:val="0"/>
          <w:color w:val="0F1115"/>
          <w:sz w:val="32"/>
          <w:szCs w:val="32"/>
          <w:highlight w:val="none"/>
          <w:shd w:val="clear" w:color="auto" w:fill="FFFFFF"/>
        </w:rPr>
        <w:t>（</w:t>
      </w:r>
      <w:r>
        <w:rPr>
          <w:rStyle w:val="6"/>
          <w:rFonts w:hint="eastAsia" w:ascii="宋体" w:hAnsi="宋体" w:eastAsia="方正楷体_GBK" w:cs="方正楷体_GBK"/>
          <w:b w:val="0"/>
          <w:color w:val="0F1115"/>
          <w:sz w:val="32"/>
          <w:szCs w:val="32"/>
          <w:highlight w:val="none"/>
          <w:shd w:val="clear" w:color="auto" w:fill="FFFFFF"/>
          <w:lang w:eastAsia="zh-CN"/>
        </w:rPr>
        <w:t>五</w:t>
      </w:r>
      <w:r>
        <w:rPr>
          <w:rStyle w:val="6"/>
          <w:rFonts w:hint="eastAsia" w:ascii="宋体" w:hAnsi="宋体" w:eastAsia="方正楷体_GBK" w:cs="方正楷体_GBK"/>
          <w:b w:val="0"/>
          <w:color w:val="0F1115"/>
          <w:sz w:val="32"/>
          <w:szCs w:val="32"/>
          <w:highlight w:val="none"/>
          <w:shd w:val="clear" w:color="auto" w:fill="FFFFFF"/>
        </w:rPr>
        <w:t>）狗牙根</w:t>
      </w:r>
      <w:r>
        <w:rPr>
          <w:rStyle w:val="6"/>
          <w:rFonts w:hint="eastAsia" w:ascii="宋体" w:hAnsi="宋体" w:eastAsia="方正楷体_GBK" w:cs="方正楷体_GBK"/>
          <w:b w:val="0"/>
          <w:i/>
          <w:iCs/>
          <w:color w:val="0F1115"/>
          <w:sz w:val="32"/>
          <w:szCs w:val="32"/>
          <w:highlight w:val="none"/>
          <w:shd w:val="clear" w:color="auto" w:fill="FFFFFF"/>
        </w:rPr>
        <w:t>Cynodon dactylon</w:t>
      </w:r>
      <w:r>
        <w:rPr>
          <w:rStyle w:val="6"/>
          <w:rFonts w:hint="eastAsia" w:ascii="宋体" w:hAnsi="宋体" w:eastAsia="方正楷体_GBK" w:cs="方正楷体_GBK"/>
          <w:b w:val="0"/>
          <w:color w:val="0F1115"/>
          <w:sz w:val="32"/>
          <w:szCs w:val="32"/>
          <w:highlight w:val="none"/>
          <w:shd w:val="clear" w:color="auto" w:fill="FFFFFF"/>
        </w:rPr>
        <w:t xml:space="preserve"> (L.) Pers.</w:t>
      </w:r>
    </w:p>
    <w:p w14:paraId="385DD52C">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05DDC5D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普通狗牙根、‘天堂419’、‘矮脚虎’、‘云牙根1号’等狗牙根。</w:t>
      </w:r>
    </w:p>
    <w:p w14:paraId="4DD03CAB">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3F41001A">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普通狗牙根：匍匐茎发达，蔓延速度极快，覆盖能力强，耐践踏、耐干旱，对云南热性土壤适应性好，是优良的暖季型草种，年产干草可达0.5吨/亩・年。适宜海拔600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28</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以上区域，滇南、滇中及干热河谷地区生长旺盛，冬季低温时枯黄。</w:t>
      </w:r>
    </w:p>
    <w:p w14:paraId="6A2C431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‘天堂419’：叶片细腻，质地柔软，耐践踏性极强，恢复速度快，在高强度使用下仍能保持草坪完整性，绿期较普通品种长30天，年产干草可达0.45吨/亩・年。适宜海拔700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1700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、年均温17</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27</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以上区域，夏季高温生长旺盛。主要用于运动草坪、景观草坪建植。</w:t>
      </w:r>
    </w:p>
    <w:p w14:paraId="24AF837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‘矮脚虎’：矮生型品种，株高整齐，无需频繁修剪，耐粗放管理，抗病虫害能力强，对干旱贫瘠土壤适应性好，年产干草可达0.4吨/亩・年。适宜海拔600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1900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以上区域，楚雄元谋、丽江华坪等干热地区及道路边坡防护中应用广泛，覆盖速度快。适用于道路边坡防护、矿山生态修复。</w:t>
      </w:r>
    </w:p>
    <w:p w14:paraId="3770A584">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‘云牙根1号’：针对性提升了对高原夏季强光的适应性，叶片抗旱性增强，在半干旱区域仍能保持较好覆盖度，年产干草可达0.55吨/亩・年。适宜海拔800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以上区域，昆明周边、大理、文山等地区种植效果好，与冷季型草混播可实现四季常青。适用于山地边坡防护、放牧草场建植。</w:t>
      </w:r>
    </w:p>
    <w:p w14:paraId="42218BAD">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7DF3210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播种：滇南地区2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3月春播或10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11月秋播，干热河谷地区3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4月播种最佳；播种量3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/亩（种子繁殖），或采用匍匐茎扦插繁殖（每亩需种茎150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），撒播后覆盖0.5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细土，播后镇压。</w:t>
      </w:r>
    </w:p>
    <w:p w14:paraId="791CDCA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水肥：播前施过磷酸钙20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/亩+腐熟有机肥1000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/亩作基肥，苗期追施尿素3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/亩；耐旱性强，生长期自然降水即可满足需求，极端干旱时补水1次，忌积水。</w:t>
      </w:r>
    </w:p>
    <w:p w14:paraId="59B228B4">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除杂：苗期生长较慢，需人工拔除阔叶杂草，禾本科杂草可喷施恶唑禾草灵防治；成坪后覆盖致密，杂草难以侵入，每年春季返青后除草1次即可。</w:t>
      </w:r>
    </w:p>
    <w:p w14:paraId="02D713D6">
      <w:pPr>
        <w:spacing w:before="0" w:after="0" w:line="560" w:lineRule="exact"/>
        <w:ind w:firstLine="640" w:firstLineChars="200"/>
        <w:jc w:val="both"/>
        <w:rPr>
          <w:rStyle w:val="6"/>
          <w:rFonts w:hint="eastAsia" w:ascii="宋体" w:hAnsi="宋体" w:eastAsia="方正仿宋_GBK" w:cs="方正仿宋_GBK"/>
          <w:b w:val="0"/>
          <w:color w:val="0F1115"/>
          <w:sz w:val="32"/>
          <w:szCs w:val="32"/>
          <w:highlight w:val="none"/>
          <w:shd w:val="clear" w:color="auto" w:fill="FFFFFF"/>
        </w:rPr>
      </w:pPr>
      <w:r>
        <w:rPr>
          <w:rFonts w:hint="eastAsia" w:ascii="宋体" w:hAnsi="宋体" w:eastAsia="方正仿宋_GBK" w:cs="方正仿宋_GBK"/>
          <w:color w:val="auto"/>
          <w:sz w:val="32"/>
          <w:szCs w:val="32"/>
          <w:highlight w:val="none"/>
        </w:rPr>
        <w:t>修剪混播：草坪型留茬高度2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，生长期每月修剪1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2次；牧草型在抽穗期刈割，留茬高度5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；与黑麦草混播时，狗牙根占50%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60%，实现四季常青草坪或草场。</w:t>
      </w:r>
    </w:p>
    <w:p w14:paraId="5ADEC3D6">
      <w:pPr>
        <w:spacing w:before="0" w:after="0" w:line="560" w:lineRule="exact"/>
        <w:ind w:firstLine="640" w:firstLineChars="200"/>
        <w:jc w:val="both"/>
        <w:outlineLvl w:val="0"/>
        <w:rPr>
          <w:rFonts w:hint="eastAsia" w:ascii="宋体" w:hAnsi="宋体" w:eastAsia="方正楷体_GBK" w:cs="方正楷体_GBK"/>
          <w:color w:val="auto"/>
          <w:sz w:val="32"/>
          <w:szCs w:val="32"/>
          <w:highlight w:val="none"/>
        </w:rPr>
      </w:pPr>
      <w:r>
        <w:rPr>
          <w:rFonts w:hint="eastAsia" w:ascii="宋体" w:hAnsi="宋体" w:eastAsia="方正楷体_GBK" w:cs="方正楷体_GBK"/>
          <w:b w:val="0"/>
          <w:bCs/>
          <w:color w:val="auto"/>
          <w:sz w:val="32"/>
          <w:szCs w:val="32"/>
          <w:highlight w:val="none"/>
        </w:rPr>
        <w:t>（</w:t>
      </w:r>
      <w:r>
        <w:rPr>
          <w:rFonts w:hint="eastAsia" w:ascii="宋体" w:hAnsi="宋体" w:eastAsia="方正楷体_GBK" w:cs="方正楷体_GBK"/>
          <w:b w:val="0"/>
          <w:bCs/>
          <w:color w:val="auto"/>
          <w:sz w:val="32"/>
          <w:szCs w:val="32"/>
          <w:highlight w:val="none"/>
          <w:lang w:eastAsia="zh-CN"/>
        </w:rPr>
        <w:t>六</w:t>
      </w:r>
      <w:r>
        <w:rPr>
          <w:rFonts w:hint="eastAsia" w:ascii="宋体" w:hAnsi="宋体" w:eastAsia="方正楷体_GBK" w:cs="方正楷体_GBK"/>
          <w:b w:val="0"/>
          <w:bCs/>
          <w:color w:val="auto"/>
          <w:sz w:val="32"/>
          <w:szCs w:val="32"/>
          <w:highlight w:val="none"/>
        </w:rPr>
        <w:t>）黑麦草</w:t>
      </w:r>
      <w:r>
        <w:rPr>
          <w:rFonts w:hint="eastAsia" w:ascii="宋体" w:hAnsi="宋体" w:eastAsia="方正楷体_GBK" w:cs="方正楷体_GBK"/>
          <w:b w:val="0"/>
          <w:bCs/>
          <w:i/>
          <w:iCs/>
          <w:color w:val="auto"/>
          <w:sz w:val="32"/>
          <w:szCs w:val="32"/>
          <w:highlight w:val="none"/>
        </w:rPr>
        <w:t>Lolium perenne</w:t>
      </w:r>
      <w:r>
        <w:rPr>
          <w:rFonts w:hint="eastAsia" w:ascii="宋体" w:hAnsi="宋体" w:eastAsia="方正楷体_GBK" w:cs="方正楷体_GBK"/>
          <w:b w:val="0"/>
          <w:bCs/>
          <w:color w:val="auto"/>
          <w:sz w:val="32"/>
          <w:szCs w:val="32"/>
          <w:highlight w:val="none"/>
        </w:rPr>
        <w:t xml:space="preserve"> L.</w:t>
      </w:r>
    </w:p>
    <w:p w14:paraId="47513337">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5AF1D18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‘雅晴’、‘美达丽’、‘滇黑麦1号’</w:t>
      </w:r>
      <w:r>
        <w:rPr>
          <w:rFonts w:hint="eastAsia" w:ascii="宋体" w:hAnsi="宋体" w:eastAsia="方正仿宋_GBK" w:cs="方正仿宋_GBK"/>
          <w:color w:val="auto"/>
          <w:sz w:val="32"/>
          <w:szCs w:val="32"/>
          <w:highlight w:val="none"/>
          <w:lang w:eastAsia="zh-CN"/>
        </w:rPr>
        <w:t>等</w:t>
      </w:r>
      <w:r>
        <w:rPr>
          <w:rFonts w:hint="eastAsia" w:ascii="宋体" w:hAnsi="宋体" w:eastAsia="方正仿宋_GBK" w:cs="方正仿宋_GBK"/>
          <w:color w:val="auto"/>
          <w:sz w:val="32"/>
          <w:szCs w:val="32"/>
          <w:highlight w:val="none"/>
        </w:rPr>
        <w:t>多年生黑麦草。</w:t>
      </w:r>
    </w:p>
    <w:p w14:paraId="07853980">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49F320C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‘雅晴’：株型直立，叶片宽大，干物质产量较普通品种高35%，粗蛋白含量达18.2%，抗白粉病能力突出，年产干草可达1.1吨/亩・年。适宜海拔900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以上区域，昆明周边、玉溪、曲靖等滇中地区规模化种植，每年可刈割4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5次。主要用于规模化牧草基地建设、高产青贮草场建植，及养殖企业优质饲料供应。</w:t>
      </w:r>
    </w:p>
    <w:p w14:paraId="12FDF43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‘美达丽’：草坪型品种，叶片细腻，色泽浓绿，耐践踏性强，恢复速度快，在运动场地使用频率高的情况下仍能快速再生，年产干草可达0.6吨/亩・年。适宜海拔1000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以上区域，昆明奥体中心、丽江体育场馆等均有应用，绿期达260天以上。适用于足球场、网球场等运动草坪，及城市广场、公园开放式草坪。</w:t>
      </w:r>
    </w:p>
    <w:p w14:paraId="28DABD67">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‘滇黑麦1号’：耐干热能力提升，在滇中半干旱区域生长稳定，不易早衰，茎秆坚韧，抗倒伏能力强，年产干草可达0.9吨/亩・年。适宜海拔700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以上区域，楚雄、大理、文山等地区种植广泛，与豆科牧草混播效果优异。</w:t>
      </w:r>
    </w:p>
    <w:p w14:paraId="1F7265A5">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24E9268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播种：滇中滇西地区9</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10月秋播最佳，滇南地区10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11月或2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3月播种，高海拔地区4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5月春播；播种量10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/亩（单播牧草），草坪单播15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/亩，条播行距25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，覆土0.5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，播后镇压。</w:t>
      </w:r>
    </w:p>
    <w:p w14:paraId="1EAEECE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水肥：播前施过磷酸钙25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/亩+尿素5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/亩作基肥，刈割后追施尿素8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/亩促再生；喜湿润，生长期需保持土壤湿润，干旱时及时灌溉，雨季做好排水防涝，避免烂根。</w:t>
      </w:r>
    </w:p>
    <w:p w14:paraId="212926BB">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除杂：苗期易受杂草抑制，阔叶杂草人工拔除或喷施2甲4氯钠防治，禾本科杂草在3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5叶期喷施精恶唑禾草灵；成株后生长迅速，竞争力强，杂草难以滋生。</w:t>
      </w:r>
    </w:p>
    <w:p w14:paraId="286D0037">
      <w:pPr>
        <w:spacing w:before="0" w:after="0" w:line="560" w:lineRule="exact"/>
        <w:ind w:firstLine="640" w:firstLineChars="200"/>
        <w:jc w:val="both"/>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color w:val="auto"/>
          <w:sz w:val="32"/>
          <w:szCs w:val="32"/>
          <w:highlight w:val="none"/>
          <w:lang w:val="en-US" w:eastAsia="zh-CN"/>
        </w:rPr>
        <w:t>利用</w:t>
      </w:r>
      <w:r>
        <w:rPr>
          <w:rFonts w:hint="eastAsia" w:ascii="宋体" w:hAnsi="宋体" w:eastAsia="方正仿宋_GBK" w:cs="方正仿宋_GBK"/>
          <w:color w:val="auto"/>
          <w:sz w:val="32"/>
          <w:szCs w:val="32"/>
          <w:highlight w:val="none"/>
        </w:rPr>
        <w:t>：牧草型在孕穗期至抽穗期刈割，留茬高度5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；草坪型留茬高度3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，每月修剪1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2次</w:t>
      </w:r>
      <w:r>
        <w:rPr>
          <w:rFonts w:hint="eastAsia" w:ascii="宋体" w:hAnsi="宋体" w:eastAsia="方正仿宋_GBK" w:cs="方正仿宋_GBK"/>
          <w:color w:val="auto"/>
          <w:sz w:val="32"/>
          <w:szCs w:val="32"/>
          <w:highlight w:val="none"/>
          <w:lang w:eastAsia="zh-CN"/>
        </w:rPr>
        <w:t>。</w:t>
      </w:r>
    </w:p>
    <w:p w14:paraId="0D04AFF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val="en-US" w:eastAsia="zh-CN"/>
        </w:rPr>
        <w:t>混播：</w:t>
      </w:r>
      <w:r>
        <w:rPr>
          <w:rFonts w:hint="eastAsia" w:ascii="宋体" w:hAnsi="宋体" w:eastAsia="方正仿宋_GBK" w:cs="方正仿宋_GBK"/>
          <w:color w:val="auto"/>
          <w:sz w:val="32"/>
          <w:szCs w:val="32"/>
          <w:highlight w:val="none"/>
        </w:rPr>
        <w:t>常与白三叶、红三叶混播，黑麦草占60%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70%，提升草场产量与品质。</w:t>
      </w:r>
    </w:p>
    <w:p w14:paraId="4A306D9A">
      <w:pPr>
        <w:pStyle w:val="3"/>
        <w:widowControl/>
        <w:shd w:val="clear" w:color="auto" w:fill="FFFFFF"/>
        <w:spacing w:before="0" w:beforeAutospacing="0" w:after="0" w:afterAutospacing="0" w:line="560" w:lineRule="exact"/>
        <w:ind w:firstLine="640" w:firstLineChars="200"/>
        <w:jc w:val="both"/>
        <w:rPr>
          <w:rFonts w:hint="eastAsia" w:ascii="宋体" w:hAnsi="宋体" w:eastAsia="方正楷体_GBK" w:cs="方正楷体_GBK"/>
          <w:color w:val="0F1115"/>
          <w:sz w:val="32"/>
          <w:szCs w:val="32"/>
          <w:highlight w:val="none"/>
        </w:rPr>
      </w:pPr>
      <w:r>
        <w:rPr>
          <w:rFonts w:hint="eastAsia" w:ascii="宋体" w:hAnsi="宋体" w:eastAsia="方正楷体_GBK" w:cs="方正楷体_GBK"/>
          <w:color w:val="auto"/>
          <w:sz w:val="32"/>
          <w:szCs w:val="32"/>
          <w:highlight w:val="none"/>
        </w:rPr>
        <w:t>（</w:t>
      </w:r>
      <w:r>
        <w:rPr>
          <w:rFonts w:hint="eastAsia" w:ascii="宋体" w:hAnsi="宋体" w:eastAsia="方正楷体_GBK" w:cs="方正楷体_GBK"/>
          <w:color w:val="auto"/>
          <w:sz w:val="32"/>
          <w:szCs w:val="32"/>
          <w:highlight w:val="none"/>
          <w:lang w:eastAsia="zh-CN"/>
        </w:rPr>
        <w:t>七</w:t>
      </w:r>
      <w:r>
        <w:rPr>
          <w:rFonts w:hint="eastAsia" w:ascii="宋体" w:hAnsi="宋体" w:eastAsia="方正楷体_GBK" w:cs="方正楷体_GBK"/>
          <w:color w:val="auto"/>
          <w:sz w:val="32"/>
          <w:szCs w:val="32"/>
          <w:highlight w:val="none"/>
        </w:rPr>
        <w:t>）</w:t>
      </w:r>
      <w:r>
        <w:rPr>
          <w:rStyle w:val="6"/>
          <w:rFonts w:hint="eastAsia" w:ascii="宋体" w:hAnsi="宋体" w:eastAsia="方正楷体_GBK" w:cs="方正楷体_GBK"/>
          <w:b w:val="0"/>
          <w:color w:val="0F1115"/>
          <w:sz w:val="32"/>
          <w:szCs w:val="32"/>
          <w:highlight w:val="none"/>
          <w:shd w:val="clear" w:color="auto" w:fill="FFFFFF"/>
        </w:rPr>
        <w:t>假俭草</w:t>
      </w:r>
      <w:r>
        <w:rPr>
          <w:rStyle w:val="6"/>
          <w:rFonts w:hint="eastAsia" w:ascii="宋体" w:hAnsi="宋体" w:eastAsia="方正楷体_GBK" w:cs="方正楷体_GBK"/>
          <w:b w:val="0"/>
          <w:i/>
          <w:iCs/>
          <w:color w:val="0F1115"/>
          <w:sz w:val="32"/>
          <w:szCs w:val="32"/>
          <w:highlight w:val="none"/>
          <w:shd w:val="clear" w:color="auto" w:fill="FFFFFF"/>
        </w:rPr>
        <w:t>Eremochloa ophiuroides</w:t>
      </w:r>
      <w:r>
        <w:rPr>
          <w:rStyle w:val="6"/>
          <w:rFonts w:hint="eastAsia" w:ascii="宋体" w:hAnsi="宋体" w:eastAsia="方正楷体_GBK" w:cs="方正楷体_GBK"/>
          <w:b w:val="0"/>
          <w:color w:val="0F1115"/>
          <w:sz w:val="32"/>
          <w:szCs w:val="32"/>
          <w:highlight w:val="none"/>
          <w:shd w:val="clear" w:color="auto" w:fill="FFFFFF"/>
        </w:rPr>
        <w:t xml:space="preserve"> (Munro) Hack.</w:t>
      </w:r>
    </w:p>
    <w:p w14:paraId="3EE4E0D7">
      <w:pPr>
        <w:pStyle w:val="3"/>
        <w:widowControl/>
        <w:spacing w:before="0" w:beforeAutospacing="0" w:after="0" w:afterAutospacing="0" w:line="560" w:lineRule="exact"/>
        <w:ind w:firstLine="643" w:firstLineChars="200"/>
        <w:jc w:val="both"/>
        <w:rPr>
          <w:rStyle w:val="6"/>
          <w:rFonts w:hint="eastAsia" w:ascii="宋体" w:hAnsi="宋体" w:eastAsia="方正仿宋_GBK" w:cs="方正仿宋_GBK"/>
          <w:b/>
          <w:bCs/>
          <w:color w:val="0F1115"/>
          <w:sz w:val="32"/>
          <w:szCs w:val="32"/>
          <w:highlight w:val="none"/>
          <w:shd w:val="clear" w:color="auto" w:fill="FFFFFF"/>
        </w:rPr>
      </w:pPr>
      <w:r>
        <w:rPr>
          <w:rStyle w:val="6"/>
          <w:rFonts w:hint="eastAsia" w:ascii="宋体" w:hAnsi="宋体" w:eastAsia="方正仿宋_GBK" w:cs="方正仿宋_GBK"/>
          <w:b/>
          <w:bCs/>
          <w:color w:val="0F1115"/>
          <w:sz w:val="32"/>
          <w:szCs w:val="32"/>
          <w:highlight w:val="none"/>
          <w:shd w:val="clear" w:color="auto" w:fill="FFFFFF"/>
        </w:rPr>
        <w:t>1.适滇品种</w:t>
      </w:r>
    </w:p>
    <w:p w14:paraId="31D9897D">
      <w:pPr>
        <w:pStyle w:val="3"/>
        <w:widowControl/>
        <w:spacing w:before="0" w:beforeAutospacing="0" w:after="0" w:afterAutospacing="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0F1115"/>
          <w:sz w:val="32"/>
          <w:szCs w:val="32"/>
          <w:highlight w:val="none"/>
          <w:shd w:val="clear" w:color="auto" w:fill="FFFFFF"/>
        </w:rPr>
        <w:t>普通假俭草、‘阳江’、‘逸生’等假俭草。</w:t>
      </w:r>
    </w:p>
    <w:p w14:paraId="3484C4C1">
      <w:pPr>
        <w:pStyle w:val="3"/>
        <w:widowControl/>
        <w:spacing w:before="0" w:beforeAutospacing="0" w:after="0" w:afterAutospacing="0" w:line="560" w:lineRule="exact"/>
        <w:ind w:firstLine="643" w:firstLineChars="200"/>
        <w:jc w:val="both"/>
        <w:rPr>
          <w:rFonts w:hint="eastAsia" w:ascii="宋体" w:hAnsi="宋体" w:eastAsia="方正仿宋_GBK"/>
          <w:b/>
          <w:bCs/>
          <w:color w:val="auto"/>
          <w:highlight w:val="none"/>
        </w:rPr>
      </w:pPr>
      <w:r>
        <w:rPr>
          <w:rFonts w:hint="eastAsia" w:ascii="宋体" w:hAnsi="宋体" w:eastAsia="方正仿宋_GBK" w:cs="方正仿宋_GBK"/>
          <w:b/>
          <w:bCs/>
          <w:color w:val="auto"/>
          <w:sz w:val="32"/>
          <w:szCs w:val="32"/>
          <w:highlight w:val="none"/>
        </w:rPr>
        <w:t>2.</w:t>
      </w:r>
      <w:r>
        <w:rPr>
          <w:rStyle w:val="6"/>
          <w:rFonts w:hint="eastAsia" w:ascii="宋体" w:hAnsi="宋体" w:eastAsia="方正仿宋_GBK" w:cs="方正仿宋_GBK"/>
          <w:b/>
          <w:bCs/>
          <w:color w:val="0F1115"/>
          <w:sz w:val="32"/>
          <w:szCs w:val="32"/>
          <w:highlight w:val="none"/>
          <w:shd w:val="clear" w:color="auto" w:fill="FFFFFF"/>
        </w:rPr>
        <w:t>品种突出特性</w:t>
      </w:r>
    </w:p>
    <w:p w14:paraId="35BE94AA">
      <w:pPr>
        <w:pStyle w:val="3"/>
        <w:widowControl/>
        <w:spacing w:before="0" w:beforeAutospacing="0" w:after="0" w:afterAutospacing="0" w:line="560" w:lineRule="exact"/>
        <w:ind w:firstLine="640" w:firstLineChars="200"/>
        <w:jc w:val="both"/>
        <w:rPr>
          <w:rStyle w:val="6"/>
          <w:rFonts w:hint="eastAsia" w:ascii="宋体" w:hAnsi="宋体" w:eastAsia="方正仿宋_GBK" w:cs="方正仿宋_GBK"/>
          <w:b w:val="0"/>
          <w:color w:val="0F1115"/>
          <w:sz w:val="32"/>
          <w:szCs w:val="32"/>
          <w:highlight w:val="none"/>
          <w:shd w:val="clear" w:color="auto" w:fill="FFFFFF"/>
        </w:rPr>
      </w:pPr>
      <w:r>
        <w:rPr>
          <w:rStyle w:val="6"/>
          <w:rFonts w:hint="eastAsia" w:ascii="宋体" w:hAnsi="宋体" w:eastAsia="方正仿宋_GBK" w:cs="方正仿宋_GBK"/>
          <w:b w:val="0"/>
          <w:color w:val="0F1115"/>
          <w:sz w:val="32"/>
          <w:szCs w:val="32"/>
          <w:highlight w:val="none"/>
          <w:shd w:val="clear" w:color="auto" w:fill="FFFFFF"/>
        </w:rPr>
        <w:t>普通假俭草：喜光耐热、抗旱耐水湿，耐荫性较强，对云南酸性及微碱性土壤适配性广，耐践踏、易养护。适宜海拔800</w:t>
      </w:r>
      <w:r>
        <w:rPr>
          <w:rStyle w:val="6"/>
          <w:rFonts w:hint="default" w:ascii="宋体" w:hAnsi="宋体" w:eastAsia="方正仿宋_GBK" w:cs="方正仿宋_GBK"/>
          <w:b w:val="0"/>
          <w:color w:val="0F1115"/>
          <w:sz w:val="32"/>
          <w:szCs w:val="32"/>
          <w:highlight w:val="none"/>
          <w:shd w:val="clear" w:color="auto" w:fill="FFFFFF"/>
          <w:lang w:val="en"/>
        </w:rPr>
        <w:t>米</w:t>
      </w:r>
      <w:r>
        <w:rPr>
          <w:rStyle w:val="6"/>
          <w:rFonts w:hint="eastAsia" w:ascii="宋体" w:hAnsi="宋体" w:eastAsia="方正仿宋_GBK" w:cs="方正仿宋_GBK"/>
          <w:b w:val="0"/>
          <w:color w:val="0F1115"/>
          <w:sz w:val="32"/>
          <w:szCs w:val="32"/>
          <w:highlight w:val="none"/>
          <w:shd w:val="clear" w:color="auto" w:fill="FFFFFF"/>
        </w:rPr>
        <w:t>以下、年均温15</w:t>
      </w:r>
      <w:r>
        <w:rPr>
          <w:rStyle w:val="6"/>
          <w:rFonts w:hint="eastAsia" w:ascii="宋体" w:hAnsi="宋体" w:eastAsia="方正仿宋_GBK" w:cs="方正仿宋_GBK"/>
          <w:b w:val="0"/>
          <w:color w:val="0F1115"/>
          <w:sz w:val="32"/>
          <w:szCs w:val="32"/>
          <w:highlight w:val="none"/>
          <w:shd w:val="clear" w:color="auto" w:fill="FFFFFF"/>
          <w:lang w:eastAsia="zh-CN"/>
        </w:rPr>
        <w:t>—</w:t>
      </w:r>
      <w:r>
        <w:rPr>
          <w:rStyle w:val="6"/>
          <w:rFonts w:hint="eastAsia" w:ascii="宋体" w:hAnsi="宋体" w:eastAsia="方正仿宋_GBK" w:cs="方正仿宋_GBK"/>
          <w:b w:val="0"/>
          <w:color w:val="0F1115"/>
          <w:sz w:val="32"/>
          <w:szCs w:val="32"/>
          <w:highlight w:val="none"/>
          <w:shd w:val="clear" w:color="auto" w:fill="FFFFFF"/>
        </w:rPr>
        <w:t>25</w:t>
      </w:r>
      <w:r>
        <w:rPr>
          <w:rStyle w:val="6"/>
          <w:rFonts w:hint="default" w:ascii="宋体" w:hAnsi="宋体" w:eastAsia="方正仿宋_GBK" w:cs="方正仿宋_GBK"/>
          <w:b w:val="0"/>
          <w:color w:val="0F1115"/>
          <w:sz w:val="32"/>
          <w:szCs w:val="32"/>
          <w:highlight w:val="none"/>
          <w:shd w:val="clear" w:color="auto" w:fill="FFFFFF"/>
          <w:lang w:val="en"/>
        </w:rPr>
        <w:t>摄氏度</w:t>
      </w:r>
      <w:r>
        <w:rPr>
          <w:rStyle w:val="6"/>
          <w:rFonts w:hint="eastAsia" w:ascii="宋体" w:hAnsi="宋体" w:eastAsia="方正仿宋_GBK" w:cs="方正仿宋_GBK"/>
          <w:b w:val="0"/>
          <w:color w:val="0F1115"/>
          <w:sz w:val="32"/>
          <w:szCs w:val="32"/>
          <w:highlight w:val="none"/>
          <w:shd w:val="clear" w:color="auto" w:fill="FFFFFF"/>
        </w:rPr>
        <w:t>、年降水量800</w:t>
      </w:r>
      <w:r>
        <w:rPr>
          <w:rStyle w:val="6"/>
          <w:rFonts w:hint="default" w:ascii="宋体" w:hAnsi="宋体" w:eastAsia="方正仿宋_GBK" w:cs="方正仿宋_GBK"/>
          <w:b w:val="0"/>
          <w:color w:val="0F1115"/>
          <w:sz w:val="32"/>
          <w:szCs w:val="32"/>
          <w:highlight w:val="none"/>
          <w:shd w:val="clear" w:color="auto" w:fill="FFFFFF"/>
          <w:lang w:val="en"/>
        </w:rPr>
        <w:t>毫米</w:t>
      </w:r>
      <w:r>
        <w:rPr>
          <w:rStyle w:val="6"/>
          <w:rFonts w:hint="eastAsia" w:ascii="宋体" w:hAnsi="宋体" w:eastAsia="方正仿宋_GBK" w:cs="方正仿宋_GBK"/>
          <w:b w:val="0"/>
          <w:color w:val="0F1115"/>
          <w:sz w:val="32"/>
          <w:szCs w:val="32"/>
          <w:highlight w:val="none"/>
          <w:shd w:val="clear" w:color="auto" w:fill="FFFFFF"/>
        </w:rPr>
        <w:t>以上的区域，昆明、玉溪、曲靖等多地均可种植，冬季无霜冻可保持长年绿色。匍匐茎发达、蔓延力强，草坪致密平整，兼具吸尘滞尘、抗有害气体特性，适用于固土护坡。</w:t>
      </w:r>
    </w:p>
    <w:p w14:paraId="5AA05D71">
      <w:pPr>
        <w:pStyle w:val="3"/>
        <w:widowControl/>
        <w:spacing w:before="0" w:beforeAutospacing="0" w:after="0" w:afterAutospacing="0" w:line="560" w:lineRule="exact"/>
        <w:ind w:firstLine="640" w:firstLineChars="200"/>
        <w:jc w:val="both"/>
        <w:rPr>
          <w:rStyle w:val="6"/>
          <w:rFonts w:hint="eastAsia" w:ascii="宋体" w:hAnsi="宋体" w:eastAsia="方正仿宋_GBK" w:cs="方正仿宋_GBK"/>
          <w:b w:val="0"/>
          <w:color w:val="0F1115"/>
          <w:sz w:val="32"/>
          <w:szCs w:val="32"/>
          <w:highlight w:val="none"/>
          <w:shd w:val="clear" w:color="auto" w:fill="FFFFFF"/>
        </w:rPr>
      </w:pPr>
      <w:r>
        <w:rPr>
          <w:rStyle w:val="6"/>
          <w:rFonts w:hint="eastAsia" w:ascii="宋体" w:hAnsi="宋体" w:eastAsia="方正仿宋_GBK" w:cs="方正仿宋_GBK"/>
          <w:b w:val="0"/>
          <w:color w:val="0F1115"/>
          <w:sz w:val="32"/>
          <w:szCs w:val="32"/>
          <w:highlight w:val="none"/>
          <w:shd w:val="clear" w:color="auto" w:fill="FFFFFF"/>
        </w:rPr>
        <w:t>‘阳江’假俭草：耐热性突出，耐贫瘠能力强，对云南红壤、沙质土适配性优，生长速度适中，成坪后养护成本低。适宜海拔600</w:t>
      </w:r>
      <w:r>
        <w:rPr>
          <w:rStyle w:val="6"/>
          <w:rFonts w:hint="eastAsia" w:ascii="宋体" w:hAnsi="宋体" w:eastAsia="方正仿宋_GBK" w:cs="方正仿宋_GBK"/>
          <w:b w:val="0"/>
          <w:color w:val="0F1115"/>
          <w:sz w:val="32"/>
          <w:szCs w:val="32"/>
          <w:highlight w:val="none"/>
          <w:shd w:val="clear" w:color="auto" w:fill="FFFFFF"/>
          <w:lang w:eastAsia="zh-CN"/>
        </w:rPr>
        <w:t>—</w:t>
      </w:r>
      <w:r>
        <w:rPr>
          <w:rStyle w:val="6"/>
          <w:rFonts w:hint="eastAsia" w:ascii="宋体" w:hAnsi="宋体" w:eastAsia="方正仿宋_GBK" w:cs="方正仿宋_GBK"/>
          <w:b w:val="0"/>
          <w:color w:val="0F1115"/>
          <w:sz w:val="32"/>
          <w:szCs w:val="32"/>
          <w:highlight w:val="none"/>
          <w:shd w:val="clear" w:color="auto" w:fill="FFFFFF"/>
        </w:rPr>
        <w:t>1600</w:t>
      </w:r>
      <w:r>
        <w:rPr>
          <w:rStyle w:val="6"/>
          <w:rFonts w:hint="default" w:ascii="宋体" w:hAnsi="宋体" w:eastAsia="方正仿宋_GBK" w:cs="方正仿宋_GBK"/>
          <w:b w:val="0"/>
          <w:color w:val="0F1115"/>
          <w:sz w:val="32"/>
          <w:szCs w:val="32"/>
          <w:highlight w:val="none"/>
          <w:shd w:val="clear" w:color="auto" w:fill="FFFFFF"/>
          <w:lang w:val="en"/>
        </w:rPr>
        <w:t>米</w:t>
      </w:r>
      <w:r>
        <w:rPr>
          <w:rStyle w:val="6"/>
          <w:rFonts w:hint="eastAsia" w:ascii="宋体" w:hAnsi="宋体" w:eastAsia="方正仿宋_GBK" w:cs="方正仿宋_GBK"/>
          <w:b w:val="0"/>
          <w:color w:val="0F1115"/>
          <w:sz w:val="32"/>
          <w:szCs w:val="32"/>
          <w:highlight w:val="none"/>
          <w:shd w:val="clear" w:color="auto" w:fill="FFFFFF"/>
        </w:rPr>
        <w:t>、年均温18</w:t>
      </w:r>
      <w:r>
        <w:rPr>
          <w:rStyle w:val="6"/>
          <w:rFonts w:hint="eastAsia" w:ascii="宋体" w:hAnsi="宋体" w:eastAsia="方正仿宋_GBK" w:cs="方正仿宋_GBK"/>
          <w:b w:val="0"/>
          <w:color w:val="0F1115"/>
          <w:sz w:val="32"/>
          <w:szCs w:val="32"/>
          <w:highlight w:val="none"/>
          <w:shd w:val="clear" w:color="auto" w:fill="FFFFFF"/>
          <w:lang w:eastAsia="zh-CN"/>
        </w:rPr>
        <w:t>—</w:t>
      </w:r>
      <w:r>
        <w:rPr>
          <w:rStyle w:val="6"/>
          <w:rFonts w:hint="eastAsia" w:ascii="宋体" w:hAnsi="宋体" w:eastAsia="方正仿宋_GBK" w:cs="方正仿宋_GBK"/>
          <w:b w:val="0"/>
          <w:color w:val="0F1115"/>
          <w:sz w:val="32"/>
          <w:szCs w:val="32"/>
          <w:highlight w:val="none"/>
          <w:shd w:val="clear" w:color="auto" w:fill="FFFFFF"/>
        </w:rPr>
        <w:t>26</w:t>
      </w:r>
      <w:r>
        <w:rPr>
          <w:rStyle w:val="6"/>
          <w:rFonts w:hint="default" w:ascii="宋体" w:hAnsi="宋体" w:eastAsia="方正仿宋_GBK" w:cs="方正仿宋_GBK"/>
          <w:b w:val="0"/>
          <w:color w:val="0F1115"/>
          <w:sz w:val="32"/>
          <w:szCs w:val="32"/>
          <w:highlight w:val="none"/>
          <w:shd w:val="clear" w:color="auto" w:fill="FFFFFF"/>
          <w:lang w:val="en"/>
        </w:rPr>
        <w:t>摄氏度</w:t>
      </w:r>
      <w:r>
        <w:rPr>
          <w:rStyle w:val="6"/>
          <w:rFonts w:hint="eastAsia" w:ascii="宋体" w:hAnsi="宋体" w:eastAsia="方正仿宋_GBK" w:cs="方正仿宋_GBK"/>
          <w:b w:val="0"/>
          <w:color w:val="0F1115"/>
          <w:sz w:val="32"/>
          <w:szCs w:val="32"/>
          <w:highlight w:val="none"/>
          <w:shd w:val="clear" w:color="auto" w:fill="FFFFFF"/>
        </w:rPr>
        <w:t>、年降水量700</w:t>
      </w:r>
      <w:r>
        <w:rPr>
          <w:rStyle w:val="6"/>
          <w:rFonts w:hint="default" w:ascii="宋体" w:hAnsi="宋体" w:eastAsia="方正仿宋_GBK" w:cs="方正仿宋_GBK"/>
          <w:b w:val="0"/>
          <w:color w:val="0F1115"/>
          <w:sz w:val="32"/>
          <w:szCs w:val="32"/>
          <w:highlight w:val="none"/>
          <w:shd w:val="clear" w:color="auto" w:fill="FFFFFF"/>
          <w:lang w:val="en"/>
        </w:rPr>
        <w:t>毫米</w:t>
      </w:r>
      <w:r>
        <w:rPr>
          <w:rStyle w:val="6"/>
          <w:rFonts w:hint="eastAsia" w:ascii="宋体" w:hAnsi="宋体" w:eastAsia="方正仿宋_GBK" w:cs="方正仿宋_GBK"/>
          <w:b w:val="0"/>
          <w:color w:val="0F1115"/>
          <w:sz w:val="32"/>
          <w:szCs w:val="32"/>
          <w:highlight w:val="none"/>
          <w:shd w:val="clear" w:color="auto" w:fill="FFFFFF"/>
        </w:rPr>
        <w:t>以上的暖区，在文山、红河、普洱等低海拔地区表现稳定，抗病虫害能力强。</w:t>
      </w:r>
    </w:p>
    <w:p w14:paraId="2279D7F2">
      <w:pPr>
        <w:pStyle w:val="3"/>
        <w:widowControl/>
        <w:spacing w:before="0" w:beforeAutospacing="0" w:after="0" w:afterAutospacing="0" w:line="560" w:lineRule="exact"/>
        <w:ind w:firstLine="640" w:firstLineChars="200"/>
        <w:jc w:val="both"/>
        <w:rPr>
          <w:rFonts w:hint="eastAsia" w:ascii="宋体" w:hAnsi="宋体" w:eastAsia="方正仿宋_GBK" w:cs="方正仿宋_GBK"/>
          <w:color w:val="auto"/>
          <w:sz w:val="32"/>
          <w:szCs w:val="32"/>
          <w:highlight w:val="none"/>
        </w:rPr>
      </w:pPr>
      <w:r>
        <w:rPr>
          <w:rStyle w:val="6"/>
          <w:rFonts w:hint="eastAsia" w:ascii="宋体" w:hAnsi="宋体" w:eastAsia="方正仿宋_GBK" w:cs="方正仿宋_GBK"/>
          <w:b w:val="0"/>
          <w:color w:val="0F1115"/>
          <w:sz w:val="32"/>
          <w:szCs w:val="32"/>
          <w:highlight w:val="none"/>
          <w:shd w:val="clear" w:color="auto" w:fill="FFFFFF"/>
        </w:rPr>
        <w:t>‘逸生’假俭草：抗逆性全面（耐旱、耐轻度盐碱、耐阴），根系深且固土性强，对云南多种土壤类型适应性广，繁殖能力强（种子自播+无性繁殖）。适宜海拔500</w:t>
      </w:r>
      <w:r>
        <w:rPr>
          <w:rStyle w:val="6"/>
          <w:rFonts w:hint="eastAsia" w:ascii="宋体" w:hAnsi="宋体" w:eastAsia="方正仿宋_GBK" w:cs="方正仿宋_GBK"/>
          <w:b w:val="0"/>
          <w:color w:val="0F1115"/>
          <w:sz w:val="32"/>
          <w:szCs w:val="32"/>
          <w:highlight w:val="none"/>
          <w:shd w:val="clear" w:color="auto" w:fill="FFFFFF"/>
          <w:lang w:eastAsia="zh-CN"/>
        </w:rPr>
        <w:t>—</w:t>
      </w:r>
      <w:r>
        <w:rPr>
          <w:rStyle w:val="6"/>
          <w:rFonts w:hint="eastAsia" w:ascii="宋体" w:hAnsi="宋体" w:eastAsia="方正仿宋_GBK" w:cs="方正仿宋_GBK"/>
          <w:b w:val="0"/>
          <w:color w:val="0F1115"/>
          <w:sz w:val="32"/>
          <w:szCs w:val="32"/>
          <w:highlight w:val="none"/>
          <w:shd w:val="clear" w:color="auto" w:fill="FFFFFF"/>
        </w:rPr>
        <w:t>2000</w:t>
      </w:r>
      <w:r>
        <w:rPr>
          <w:rStyle w:val="6"/>
          <w:rFonts w:hint="default" w:ascii="宋体" w:hAnsi="宋体" w:eastAsia="方正仿宋_GBK" w:cs="方正仿宋_GBK"/>
          <w:b w:val="0"/>
          <w:color w:val="0F1115"/>
          <w:sz w:val="32"/>
          <w:szCs w:val="32"/>
          <w:highlight w:val="none"/>
          <w:shd w:val="clear" w:color="auto" w:fill="FFFFFF"/>
          <w:lang w:val="en"/>
        </w:rPr>
        <w:t>米</w:t>
      </w:r>
      <w:r>
        <w:rPr>
          <w:rStyle w:val="6"/>
          <w:rFonts w:hint="eastAsia" w:ascii="宋体" w:hAnsi="宋体" w:eastAsia="方正仿宋_GBK" w:cs="方正仿宋_GBK"/>
          <w:b w:val="0"/>
          <w:color w:val="0F1115"/>
          <w:sz w:val="32"/>
          <w:szCs w:val="32"/>
          <w:highlight w:val="none"/>
          <w:shd w:val="clear" w:color="auto" w:fill="FFFFFF"/>
        </w:rPr>
        <w:t>、年均温14</w:t>
      </w:r>
      <w:r>
        <w:rPr>
          <w:rStyle w:val="6"/>
          <w:rFonts w:hint="eastAsia" w:ascii="宋体" w:hAnsi="宋体" w:eastAsia="方正仿宋_GBK" w:cs="方正仿宋_GBK"/>
          <w:b w:val="0"/>
          <w:color w:val="0F1115"/>
          <w:sz w:val="32"/>
          <w:szCs w:val="32"/>
          <w:highlight w:val="none"/>
          <w:shd w:val="clear" w:color="auto" w:fill="FFFFFF"/>
          <w:lang w:eastAsia="zh-CN"/>
        </w:rPr>
        <w:t>—</w:t>
      </w:r>
      <w:r>
        <w:rPr>
          <w:rStyle w:val="6"/>
          <w:rFonts w:hint="eastAsia" w:ascii="宋体" w:hAnsi="宋体" w:eastAsia="方正仿宋_GBK" w:cs="方正仿宋_GBK"/>
          <w:b w:val="0"/>
          <w:color w:val="0F1115"/>
          <w:sz w:val="32"/>
          <w:szCs w:val="32"/>
          <w:highlight w:val="none"/>
          <w:shd w:val="clear" w:color="auto" w:fill="FFFFFF"/>
        </w:rPr>
        <w:t>24</w:t>
      </w:r>
      <w:r>
        <w:rPr>
          <w:rStyle w:val="6"/>
          <w:rFonts w:hint="default" w:ascii="宋体" w:hAnsi="宋体" w:eastAsia="方正仿宋_GBK" w:cs="方正仿宋_GBK"/>
          <w:b w:val="0"/>
          <w:color w:val="0F1115"/>
          <w:sz w:val="32"/>
          <w:szCs w:val="32"/>
          <w:highlight w:val="none"/>
          <w:shd w:val="clear" w:color="auto" w:fill="FFFFFF"/>
          <w:lang w:val="en"/>
        </w:rPr>
        <w:t>摄氏度</w:t>
      </w:r>
      <w:r>
        <w:rPr>
          <w:rStyle w:val="6"/>
          <w:rFonts w:hint="eastAsia" w:ascii="宋体" w:hAnsi="宋体" w:eastAsia="方正仿宋_GBK" w:cs="方正仿宋_GBK"/>
          <w:b w:val="0"/>
          <w:color w:val="0F1115"/>
          <w:sz w:val="32"/>
          <w:szCs w:val="32"/>
          <w:highlight w:val="none"/>
          <w:shd w:val="clear" w:color="auto" w:fill="FFFFFF"/>
        </w:rPr>
        <w:t>、年降水量650</w:t>
      </w:r>
      <w:r>
        <w:rPr>
          <w:rStyle w:val="6"/>
          <w:rFonts w:hint="default" w:ascii="宋体" w:hAnsi="宋体" w:eastAsia="方正仿宋_GBK" w:cs="方正仿宋_GBK"/>
          <w:b w:val="0"/>
          <w:color w:val="0F1115"/>
          <w:sz w:val="32"/>
          <w:szCs w:val="32"/>
          <w:highlight w:val="none"/>
          <w:shd w:val="clear" w:color="auto" w:fill="FFFFFF"/>
          <w:lang w:val="en"/>
        </w:rPr>
        <w:t>毫米</w:t>
      </w:r>
      <w:r>
        <w:rPr>
          <w:rStyle w:val="6"/>
          <w:rFonts w:hint="eastAsia" w:ascii="宋体" w:hAnsi="宋体" w:eastAsia="方正仿宋_GBK" w:cs="方正仿宋_GBK"/>
          <w:b w:val="0"/>
          <w:color w:val="0F1115"/>
          <w:sz w:val="32"/>
          <w:szCs w:val="32"/>
          <w:highlight w:val="none"/>
          <w:shd w:val="clear" w:color="auto" w:fill="FFFFFF"/>
        </w:rPr>
        <w:t>以上的区域，除丽江等高寒山区外均可安全越冬。建植速度快，地面覆盖致密，能有效防止水土流失，兼顾生态价值与低成本养护，适用于公路护坡、堤岸护堤、荒山绿化及低维护要求的生态修复项目。</w:t>
      </w:r>
    </w:p>
    <w:p w14:paraId="6D1E242E">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5E6FD98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播种：滇南地区3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4月春播或9</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10月秋播，滇中地区4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5月春播最佳；播种量5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/亩，或采用分株繁殖（每亩需种株100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），撒播后覆盖0.5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细土，播后保持土壤湿润。</w:t>
      </w:r>
    </w:p>
    <w:p w14:paraId="7E67D634">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水肥：耐贫瘠，播前施过磷酸钙15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/亩作基肥即可，生长期无需频繁追肥，每年春季追施尿素2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/亩即可；耐旱性中等，生长期遇干旱需补水1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2次，忌积水。</w:t>
      </w:r>
    </w:p>
    <w:p w14:paraId="2C2EEDEE">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除杂：苗期生长较慢，需人工拔除阔叶杂草，禾本科杂草可喷施精喹禾灵防治；成坪后覆盖能力强，杂草难以滋生，后期基本无需除草。</w:t>
      </w:r>
    </w:p>
    <w:p w14:paraId="51A3FBE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修剪：留茬高度3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，生长旺季（5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9月）每月修剪1次，其他季节无需频繁修剪；耐粗放管理，适合低成本绿化区域，可与狗牙根混播提升草坪稳定性。</w:t>
      </w:r>
    </w:p>
    <w:p w14:paraId="4D1A9FCE">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auto"/>
          <w:sz w:val="32"/>
          <w:szCs w:val="32"/>
          <w:highlight w:val="none"/>
        </w:rPr>
        <w:t>（</w:t>
      </w:r>
      <w:r>
        <w:rPr>
          <w:rFonts w:hint="eastAsia" w:ascii="宋体" w:hAnsi="宋体" w:eastAsia="方正楷体_GBK" w:cs="方正楷体_GBK"/>
          <w:color w:val="auto"/>
          <w:sz w:val="32"/>
          <w:szCs w:val="32"/>
          <w:highlight w:val="none"/>
          <w:lang w:eastAsia="zh-CN"/>
        </w:rPr>
        <w:t>八</w:t>
      </w:r>
      <w:r>
        <w:rPr>
          <w:rFonts w:hint="eastAsia" w:ascii="宋体" w:hAnsi="宋体" w:eastAsia="方正楷体_GBK" w:cs="方正楷体_GBK"/>
          <w:color w:val="auto"/>
          <w:sz w:val="32"/>
          <w:szCs w:val="32"/>
          <w:highlight w:val="none"/>
        </w:rPr>
        <w:t>）</w:t>
      </w:r>
      <w:r>
        <w:rPr>
          <w:rFonts w:hint="eastAsia" w:ascii="宋体" w:hAnsi="宋体" w:eastAsia="方正楷体_GBK" w:cs="方正楷体_GBK"/>
          <w:color w:val="000000"/>
          <w:sz w:val="32"/>
          <w:szCs w:val="32"/>
          <w:highlight w:val="none"/>
        </w:rPr>
        <w:t>铺地狼尾草</w:t>
      </w:r>
      <w:r>
        <w:rPr>
          <w:rFonts w:hint="eastAsia" w:ascii="宋体" w:hAnsi="宋体" w:eastAsia="方正楷体_GBK" w:cs="方正楷体_GBK"/>
          <w:i/>
          <w:iCs/>
          <w:color w:val="000000"/>
          <w:sz w:val="32"/>
          <w:szCs w:val="32"/>
          <w:highlight w:val="none"/>
        </w:rPr>
        <w:t>Pennisetum clandestinum</w:t>
      </w:r>
      <w:r>
        <w:rPr>
          <w:rFonts w:hint="eastAsia" w:ascii="宋体" w:hAnsi="宋体" w:eastAsia="方正楷体_GBK" w:cs="方正楷体_GBK"/>
          <w:color w:val="000000"/>
          <w:sz w:val="32"/>
          <w:szCs w:val="32"/>
          <w:highlight w:val="none"/>
        </w:rPr>
        <w:t xml:space="preserve"> Hochst.</w:t>
      </w:r>
    </w:p>
    <w:p w14:paraId="41BC7DAC">
      <w:pPr>
        <w:spacing w:line="560" w:lineRule="exact"/>
        <w:ind w:firstLine="643" w:firstLineChars="200"/>
        <w:rPr>
          <w:rFonts w:hint="eastAsia" w:ascii="宋体" w:hAnsi="宋体" w:eastAsia="方正仿宋_GBK" w:cs="方正仿宋_GBK"/>
          <w:b/>
          <w:bCs/>
          <w:color w:val="000000"/>
          <w:sz w:val="32"/>
          <w:szCs w:val="32"/>
          <w:highlight w:val="none"/>
        </w:rPr>
      </w:pPr>
      <w:r>
        <w:rPr>
          <w:rFonts w:hint="eastAsia" w:ascii="宋体" w:hAnsi="宋体" w:eastAsia="方正仿宋_GBK" w:cs="方正仿宋_GBK"/>
          <w:b/>
          <w:bCs/>
          <w:color w:val="000000"/>
          <w:sz w:val="32"/>
          <w:szCs w:val="32"/>
          <w:highlight w:val="none"/>
        </w:rPr>
        <w:t>1.适滇品种</w:t>
      </w:r>
    </w:p>
    <w:p w14:paraId="2CCD8D42">
      <w:pPr>
        <w:spacing w:line="560" w:lineRule="exact"/>
        <w:ind w:firstLine="640" w:firstLineChars="200"/>
        <w:rPr>
          <w:rFonts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‘威提特’、‘比卡’、‘特卡’、‘肯卡普’、‘坦帕’、‘克罗拉多’等</w:t>
      </w:r>
      <w:r>
        <w:rPr>
          <w:rFonts w:hint="eastAsia" w:ascii="宋体" w:hAnsi="宋体" w:eastAsia="方正仿宋_GBK" w:cs="方正仿宋_GBK"/>
          <w:color w:val="000000"/>
          <w:sz w:val="32"/>
          <w:szCs w:val="32"/>
          <w:highlight w:val="none"/>
          <w:lang w:eastAsia="zh-CN"/>
        </w:rPr>
        <w:t>铺地狼尾草</w:t>
      </w:r>
      <w:r>
        <w:rPr>
          <w:rFonts w:hint="eastAsia" w:ascii="宋体" w:hAnsi="宋体" w:eastAsia="方正仿宋_GBK" w:cs="方正仿宋_GBK"/>
          <w:color w:val="000000"/>
          <w:sz w:val="32"/>
          <w:szCs w:val="32"/>
          <w:highlight w:val="none"/>
        </w:rPr>
        <w:t>。</w:t>
      </w:r>
    </w:p>
    <w:p w14:paraId="4BC1EFC1">
      <w:pPr>
        <w:pStyle w:val="3"/>
        <w:widowControl/>
        <w:spacing w:before="0" w:beforeAutospacing="0" w:after="0" w:afterAutospacing="0" w:line="560" w:lineRule="exact"/>
        <w:ind w:firstLine="643" w:firstLineChars="200"/>
        <w:jc w:val="both"/>
        <w:rPr>
          <w:rStyle w:val="6"/>
          <w:rFonts w:hint="eastAsia" w:ascii="宋体" w:hAnsi="宋体" w:eastAsia="方正仿宋_GBK" w:cs="方正仿宋_GBK"/>
          <w:b/>
          <w:bCs/>
          <w:color w:val="0F1115"/>
          <w:sz w:val="32"/>
          <w:szCs w:val="32"/>
          <w:highlight w:val="none"/>
          <w:shd w:val="clear" w:color="auto" w:fill="FFFFFF"/>
          <w:lang w:eastAsia="zh-CN"/>
        </w:rPr>
      </w:pPr>
      <w:r>
        <w:rPr>
          <w:rFonts w:hint="eastAsia" w:ascii="宋体" w:hAnsi="宋体" w:eastAsia="方正仿宋_GBK" w:cs="方正仿宋_GBK"/>
          <w:b/>
          <w:bCs/>
          <w:color w:val="000000"/>
          <w:sz w:val="32"/>
          <w:szCs w:val="32"/>
          <w:highlight w:val="none"/>
        </w:rPr>
        <w:t>2.</w:t>
      </w:r>
      <w:r>
        <w:rPr>
          <w:rStyle w:val="6"/>
          <w:rFonts w:hint="eastAsia" w:ascii="宋体" w:hAnsi="宋体" w:eastAsia="方正仿宋_GBK" w:cs="方正仿宋_GBK"/>
          <w:b/>
          <w:bCs/>
          <w:color w:val="0F1115"/>
          <w:sz w:val="32"/>
          <w:szCs w:val="32"/>
          <w:highlight w:val="none"/>
          <w:shd w:val="clear" w:color="auto" w:fill="FFFFFF"/>
        </w:rPr>
        <w:t>品种突出特性</w:t>
      </w:r>
    </w:p>
    <w:p w14:paraId="113DDCB7">
      <w:pPr>
        <w:pStyle w:val="3"/>
        <w:widowControl/>
        <w:spacing w:before="0" w:beforeAutospacing="0" w:after="0" w:afterAutospacing="0" w:line="560" w:lineRule="exact"/>
        <w:ind w:firstLine="640" w:firstLineChars="200"/>
        <w:jc w:val="both"/>
        <w:rPr>
          <w:rStyle w:val="6"/>
          <w:rFonts w:hint="eastAsia" w:ascii="宋体" w:hAnsi="宋体" w:eastAsia="方正仿宋_GBK" w:cs="方正仿宋_GBK"/>
          <w:b w:val="0"/>
          <w:color w:val="0F1115"/>
          <w:sz w:val="32"/>
          <w:szCs w:val="32"/>
          <w:highlight w:val="none"/>
          <w:shd w:val="clear" w:color="auto" w:fill="FFFFFF"/>
        </w:rPr>
      </w:pPr>
      <w:r>
        <w:rPr>
          <w:rFonts w:hint="eastAsia" w:ascii="宋体" w:hAnsi="宋体" w:eastAsia="方正仿宋_GBK" w:cs="方正仿宋_GBK"/>
          <w:color w:val="000000"/>
          <w:sz w:val="32"/>
          <w:szCs w:val="32"/>
          <w:highlight w:val="none"/>
        </w:rPr>
        <w:t>‘威提特’：耐干旱、耐重牧、耐践踏，根系发达固土性强，对云南红壤、沙质土等适配性好，绿期长且干物质产量高。适宜海拔552.7</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2100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、年均温13.7</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22.1</w:t>
      </w:r>
      <w:r>
        <w:rPr>
          <w:rFonts w:hint="default" w:ascii="宋体" w:hAnsi="宋体" w:eastAsia="方正仿宋_GBK" w:cs="方正仿宋_GBK"/>
          <w:color w:val="000000"/>
          <w:sz w:val="32"/>
          <w:szCs w:val="32"/>
          <w:highlight w:val="none"/>
          <w:lang w:val="en"/>
        </w:rPr>
        <w:t>摄氏度</w:t>
      </w:r>
      <w:r>
        <w:rPr>
          <w:rFonts w:hint="eastAsia" w:ascii="宋体" w:hAnsi="宋体" w:eastAsia="方正仿宋_GBK" w:cs="方正仿宋_GBK"/>
          <w:color w:val="000000"/>
          <w:sz w:val="32"/>
          <w:szCs w:val="32"/>
          <w:highlight w:val="none"/>
        </w:rPr>
        <w:t>、年降水量700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以上的亚热带地区，昆明、保山、文山、普洱等9个地州均有大面积种植，仅丽江等高寒山区无法越冬。可用于退化草地改良、人工放牧草场建植。</w:t>
      </w:r>
    </w:p>
    <w:p w14:paraId="16717C95">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‘比卡’：抗旱性极强，耐酸性贫瘠土壤，生命力顽强，对云南红壤、石质土等适配性优，少量降雨即可存活并快速覆盖地表。适宜海拔600</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2300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、年均温12.5</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23</w:t>
      </w:r>
      <w:r>
        <w:rPr>
          <w:rFonts w:hint="default" w:ascii="宋体" w:hAnsi="宋体" w:eastAsia="方正仿宋_GBK" w:cs="方正仿宋_GBK"/>
          <w:color w:val="000000"/>
          <w:sz w:val="32"/>
          <w:szCs w:val="32"/>
          <w:highlight w:val="none"/>
          <w:lang w:val="en"/>
        </w:rPr>
        <w:t>摄氏度</w:t>
      </w:r>
      <w:r>
        <w:rPr>
          <w:rFonts w:hint="eastAsia" w:ascii="宋体" w:hAnsi="宋体" w:eastAsia="方正仿宋_GBK" w:cs="方正仿宋_GBK"/>
          <w:color w:val="000000"/>
          <w:sz w:val="32"/>
          <w:szCs w:val="32"/>
          <w:highlight w:val="none"/>
        </w:rPr>
        <w:t>、年降水量500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以上的地区，在曲靖、昭通等干旱山区表现突出，低温耐受度优于其他品种。是生态治理的“开路先锋”，可用于石漠化治理、荒山绿化、贫瘠坡地植被恢复等。</w:t>
      </w:r>
    </w:p>
    <w:p w14:paraId="11BD7868">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‘特卡’：建植速度快，匍匐茎粗壮坚韧，根系扎根深，固土性极强，对云南各类坡地土壤适配性好，形成的草垫层厚密耐磨。适宜海拔500</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2000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、年均温14</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22.5</w:t>
      </w:r>
      <w:r>
        <w:rPr>
          <w:rFonts w:hint="default" w:ascii="宋体" w:hAnsi="宋体" w:eastAsia="方正仿宋_GBK" w:cs="方正仿宋_GBK"/>
          <w:color w:val="000000"/>
          <w:sz w:val="32"/>
          <w:szCs w:val="32"/>
          <w:highlight w:val="none"/>
          <w:lang w:val="en"/>
        </w:rPr>
        <w:t>摄氏度</w:t>
      </w:r>
      <w:r>
        <w:rPr>
          <w:rFonts w:hint="eastAsia" w:ascii="宋体" w:hAnsi="宋体" w:eastAsia="方正仿宋_GBK" w:cs="方正仿宋_GBK"/>
          <w:color w:val="000000"/>
          <w:sz w:val="32"/>
          <w:szCs w:val="32"/>
          <w:highlight w:val="none"/>
        </w:rPr>
        <w:t>、年降水量600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以上的亚热带区域，在玉溪、楚雄等山地丘陵区广泛应用，轻霜冻地区可安全越冬。适用于高要求固土护坡、河道两岸水土保持、矿山复绿等对防护性要求高的项目。</w:t>
      </w:r>
    </w:p>
    <w:p w14:paraId="1F826F5E">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‘肯卡普’：耐高温高湿，抗病虫害能力强，对云南湿热地区的酸性红壤、黏质土适配性佳，生长状态稳定且绿色覆盖持久。适宜海拔400</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1800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、年均温18</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24</w:t>
      </w:r>
      <w:r>
        <w:rPr>
          <w:rFonts w:hint="default" w:ascii="宋体" w:hAnsi="宋体" w:eastAsia="方正仿宋_GBK" w:cs="方正仿宋_GBK"/>
          <w:color w:val="000000"/>
          <w:sz w:val="32"/>
          <w:szCs w:val="32"/>
          <w:highlight w:val="none"/>
          <w:lang w:val="en"/>
        </w:rPr>
        <w:t>摄氏度</w:t>
      </w:r>
      <w:r>
        <w:rPr>
          <w:rFonts w:hint="eastAsia" w:ascii="宋体" w:hAnsi="宋体" w:eastAsia="方正仿宋_GBK" w:cs="方正仿宋_GBK"/>
          <w:color w:val="000000"/>
          <w:sz w:val="32"/>
          <w:szCs w:val="32"/>
          <w:highlight w:val="none"/>
        </w:rPr>
        <w:t>、年降水量1000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以上的热区，在西双版纳、德宏、红河等低海拔地区表现优异，无明显越冬压力。可用于热带</w:t>
      </w:r>
      <w:r>
        <w:rPr>
          <w:rFonts w:hint="eastAsia" w:ascii="宋体" w:hAnsi="宋体" w:eastAsia="方正仿宋_GBK" w:cs="方正仿宋_GBK"/>
          <w:color w:val="000000"/>
          <w:sz w:val="32"/>
          <w:szCs w:val="32"/>
          <w:highlight w:val="none"/>
          <w:lang w:eastAsia="zh-CN"/>
        </w:rPr>
        <w:t>地区</w:t>
      </w:r>
      <w:r>
        <w:rPr>
          <w:rFonts w:hint="eastAsia" w:ascii="宋体" w:hAnsi="宋体" w:eastAsia="方正仿宋_GBK" w:cs="方正仿宋_GBK"/>
          <w:color w:val="000000"/>
          <w:sz w:val="32"/>
          <w:szCs w:val="32"/>
          <w:highlight w:val="none"/>
        </w:rPr>
        <w:t>生态修复等。</w:t>
      </w:r>
    </w:p>
    <w:p w14:paraId="1284BBC5">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‘坦帕’：抗逆性全面（耐干旱、耐轻度盐碱），叶片宽且生长旺盛，生物产量高，对云南沙质土、壤土适配性好，覆盖速度快且能补充土壤有机质。适宜海拔550</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2200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、年均温13</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23</w:t>
      </w:r>
      <w:r>
        <w:rPr>
          <w:rFonts w:hint="default" w:ascii="宋体" w:hAnsi="宋体" w:eastAsia="方正仿宋_GBK" w:cs="方正仿宋_GBK"/>
          <w:color w:val="000000"/>
          <w:sz w:val="32"/>
          <w:szCs w:val="32"/>
          <w:highlight w:val="none"/>
          <w:lang w:val="en"/>
        </w:rPr>
        <w:t>摄氏度</w:t>
      </w:r>
      <w:r>
        <w:rPr>
          <w:rFonts w:hint="eastAsia" w:ascii="宋体" w:hAnsi="宋体" w:eastAsia="方正仿宋_GBK" w:cs="方正仿宋_GBK"/>
          <w:color w:val="000000"/>
          <w:sz w:val="32"/>
          <w:szCs w:val="32"/>
          <w:highlight w:val="none"/>
        </w:rPr>
        <w:t>、年降水量650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以上的地区，在大理、临沧等多地均能正常生长，仅高海拔低温区域需轻度防护。可用于退化草地改良、人工草场建植、及土壤肥力提升。</w:t>
      </w:r>
    </w:p>
    <w:p w14:paraId="10E1ED48">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000000"/>
          <w:sz w:val="32"/>
          <w:szCs w:val="32"/>
          <w:highlight w:val="none"/>
        </w:rPr>
        <w:t>‘克罗拉多’：地面覆盖性好，耐啃食性强，产草量高且适口性优，对云南红壤、沙壤土适配性强，兼顾生态价值与饲用价值。适宜海拔600</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2100</w:t>
      </w:r>
      <w:r>
        <w:rPr>
          <w:rFonts w:hint="default" w:ascii="宋体" w:hAnsi="宋体" w:eastAsia="方正仿宋_GBK" w:cs="方正仿宋_GBK"/>
          <w:color w:val="000000"/>
          <w:sz w:val="32"/>
          <w:szCs w:val="32"/>
          <w:highlight w:val="none"/>
          <w:lang w:val="en"/>
        </w:rPr>
        <w:t>米</w:t>
      </w:r>
      <w:r>
        <w:rPr>
          <w:rFonts w:hint="eastAsia" w:ascii="宋体" w:hAnsi="宋体" w:eastAsia="方正仿宋_GBK" w:cs="方正仿宋_GBK"/>
          <w:color w:val="000000"/>
          <w:sz w:val="32"/>
          <w:szCs w:val="32"/>
          <w:highlight w:val="none"/>
        </w:rPr>
        <w:t>、年均温14</w:t>
      </w:r>
      <w:r>
        <w:rPr>
          <w:rFonts w:hint="eastAsia" w:ascii="宋体" w:hAnsi="宋体" w:eastAsia="方正仿宋_GBK" w:cs="方正仿宋_GBK"/>
          <w:color w:val="000000"/>
          <w:sz w:val="32"/>
          <w:szCs w:val="32"/>
          <w:highlight w:val="none"/>
          <w:lang w:eastAsia="zh-CN"/>
        </w:rPr>
        <w:t>—</w:t>
      </w:r>
      <w:r>
        <w:rPr>
          <w:rFonts w:hint="eastAsia" w:ascii="宋体" w:hAnsi="宋体" w:eastAsia="方正仿宋_GBK" w:cs="方正仿宋_GBK"/>
          <w:color w:val="000000"/>
          <w:sz w:val="32"/>
          <w:szCs w:val="32"/>
          <w:highlight w:val="none"/>
        </w:rPr>
        <w:t>22</w:t>
      </w:r>
      <w:r>
        <w:rPr>
          <w:rFonts w:hint="default" w:ascii="宋体" w:hAnsi="宋体" w:eastAsia="方正仿宋_GBK" w:cs="方正仿宋_GBK"/>
          <w:color w:val="000000"/>
          <w:sz w:val="32"/>
          <w:szCs w:val="32"/>
          <w:highlight w:val="none"/>
          <w:lang w:val="en"/>
        </w:rPr>
        <w:t>摄氏度</w:t>
      </w:r>
      <w:r>
        <w:rPr>
          <w:rFonts w:hint="eastAsia" w:ascii="宋体" w:hAnsi="宋体" w:eastAsia="方正仿宋_GBK" w:cs="方正仿宋_GBK"/>
          <w:color w:val="000000"/>
          <w:sz w:val="32"/>
          <w:szCs w:val="32"/>
          <w:highlight w:val="none"/>
        </w:rPr>
        <w:t>、年降水量700</w:t>
      </w:r>
      <w:r>
        <w:rPr>
          <w:rFonts w:hint="default" w:ascii="宋体" w:hAnsi="宋体" w:eastAsia="方正仿宋_GBK" w:cs="方正仿宋_GBK"/>
          <w:color w:val="000000"/>
          <w:sz w:val="32"/>
          <w:szCs w:val="32"/>
          <w:highlight w:val="none"/>
          <w:lang w:val="en"/>
        </w:rPr>
        <w:t>毫米</w:t>
      </w:r>
      <w:r>
        <w:rPr>
          <w:rFonts w:hint="eastAsia" w:ascii="宋体" w:hAnsi="宋体" w:eastAsia="方正仿宋_GBK" w:cs="方正仿宋_GBK"/>
          <w:color w:val="000000"/>
          <w:sz w:val="32"/>
          <w:szCs w:val="32"/>
          <w:highlight w:val="none"/>
        </w:rPr>
        <w:t>以上的亚热带地区，在曲靖、文山等农牧交错区广泛种植，轻寒地区可安全越冬。可用于兼顾生态修复与饲草供给的项目。</w:t>
      </w:r>
    </w:p>
    <w:p w14:paraId="34F28C21">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3BF51DA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播种：滇中滇北地区3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4月春播，滇南地区2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3月或10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11月播种，高海拔地区5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6月春播；播种量3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/亩，条播行距30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，撒播后覆盖1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细土，播后镇压。</w:t>
      </w:r>
    </w:p>
    <w:p w14:paraId="7FF5F6D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水肥：耐贫瘠，播前施过磷酸钙15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/亩作基肥，苗期追施尿素2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/亩；耐旱性强，自然降水基本满足需求，仅长期干旱时补水1次，忌积水。</w:t>
      </w:r>
    </w:p>
    <w:p w14:paraId="660CA536">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除杂：苗期生长较慢，需人工拔除杂草，或在播种前喷施除草剂进行土壤处理；株高达到20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后生长速度加快，竞争力增强，可抑制杂草滋生。</w:t>
      </w:r>
    </w:p>
    <w:p w14:paraId="06FDB47C">
      <w:pPr>
        <w:spacing w:line="560" w:lineRule="exact"/>
        <w:ind w:firstLine="640" w:firstLineChars="200"/>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利用：牧草型在抽穗期刈割，留茬高度8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，每年可刈割2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3次；观赏型无需频繁修剪，仅在株高过高时修剪，留茬高度5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lang w:eastAsia="zh-CN"/>
        </w:rPr>
        <w:t>。</w:t>
      </w:r>
    </w:p>
    <w:p w14:paraId="4459DADF">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auto"/>
          <w:sz w:val="32"/>
          <w:szCs w:val="32"/>
          <w:highlight w:val="none"/>
        </w:rPr>
        <w:t>混播</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000000"/>
          <w:sz w:val="32"/>
          <w:szCs w:val="32"/>
          <w:highlight w:val="none"/>
        </w:rPr>
        <w:t>与白三叶混播可提升群落稳定性，混播比例通常为</w:t>
      </w:r>
      <w:r>
        <w:rPr>
          <w:rFonts w:hint="eastAsia" w:ascii="宋体" w:hAnsi="宋体" w:eastAsia="方正仿宋_GBK" w:cs="方正仿宋_GBK"/>
          <w:color w:val="000000"/>
          <w:sz w:val="32"/>
          <w:szCs w:val="32"/>
          <w:highlight w:val="none"/>
          <w:lang w:val="en-US" w:eastAsia="zh-CN"/>
        </w:rPr>
        <w:t>铺地狼尾草</w:t>
      </w:r>
      <w:r>
        <w:rPr>
          <w:rFonts w:hint="eastAsia" w:ascii="宋体" w:hAnsi="宋体" w:eastAsia="方正仿宋_GBK" w:cs="方正仿宋_GBK"/>
          <w:color w:val="000000"/>
          <w:sz w:val="32"/>
          <w:szCs w:val="32"/>
          <w:highlight w:val="none"/>
        </w:rPr>
        <w:t>占40%</w:t>
      </w:r>
      <w:r>
        <w:rPr>
          <w:rFonts w:ascii="宋体" w:hAnsi="宋体" w:eastAsia="方正仿宋_GBK" w:cs="方正仿宋_GBK"/>
          <w:color w:val="000000"/>
          <w:sz w:val="32"/>
          <w:szCs w:val="32"/>
          <w:highlight w:val="none"/>
          <w:lang w:val="en"/>
        </w:rPr>
        <w:t>—</w:t>
      </w:r>
      <w:r>
        <w:rPr>
          <w:rFonts w:hint="eastAsia" w:ascii="宋体" w:hAnsi="宋体" w:eastAsia="方正仿宋_GBK" w:cs="方正仿宋_GBK"/>
          <w:color w:val="000000"/>
          <w:sz w:val="32"/>
          <w:szCs w:val="32"/>
          <w:highlight w:val="none"/>
        </w:rPr>
        <w:t>50%，白三叶占50%</w:t>
      </w:r>
      <w:r>
        <w:rPr>
          <w:rFonts w:ascii="宋体" w:hAnsi="宋体" w:eastAsia="方正仿宋_GBK" w:cs="方正仿宋_GBK"/>
          <w:color w:val="000000"/>
          <w:sz w:val="32"/>
          <w:szCs w:val="32"/>
          <w:highlight w:val="none"/>
          <w:lang w:val="en"/>
        </w:rPr>
        <w:t>—</w:t>
      </w:r>
      <w:r>
        <w:rPr>
          <w:rFonts w:hint="eastAsia" w:ascii="宋体" w:hAnsi="宋体" w:eastAsia="方正仿宋_GBK" w:cs="方正仿宋_GBK"/>
          <w:color w:val="000000"/>
          <w:sz w:val="32"/>
          <w:szCs w:val="32"/>
          <w:highlight w:val="none"/>
        </w:rPr>
        <w:t>60%。还可与其他匍匐性草种混播，用于生态护坡。</w:t>
      </w:r>
    </w:p>
    <w:p w14:paraId="45B9AA61">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w:t>
      </w:r>
      <w:r>
        <w:rPr>
          <w:rFonts w:hint="eastAsia" w:ascii="宋体" w:hAnsi="宋体" w:eastAsia="方正楷体_GBK" w:cs="方正楷体_GBK"/>
          <w:color w:val="000000"/>
          <w:sz w:val="32"/>
          <w:szCs w:val="32"/>
          <w:highlight w:val="none"/>
          <w:lang w:eastAsia="zh-CN"/>
        </w:rPr>
        <w:t>九</w:t>
      </w:r>
      <w:r>
        <w:rPr>
          <w:rFonts w:hint="eastAsia" w:ascii="宋体" w:hAnsi="宋体" w:eastAsia="方正楷体_GBK" w:cs="方正楷体_GBK"/>
          <w:color w:val="000000"/>
          <w:sz w:val="32"/>
          <w:szCs w:val="32"/>
          <w:highlight w:val="none"/>
        </w:rPr>
        <w:t>）苇状羊茅（高羊茅）</w:t>
      </w:r>
      <w:r>
        <w:rPr>
          <w:rFonts w:hint="eastAsia" w:ascii="宋体" w:hAnsi="宋体" w:eastAsia="方正楷体_GBK" w:cs="方正楷体_GBK"/>
          <w:i/>
          <w:iCs/>
          <w:color w:val="000000"/>
          <w:sz w:val="32"/>
          <w:szCs w:val="32"/>
          <w:highlight w:val="none"/>
        </w:rPr>
        <w:t>Festuca arundinacea</w:t>
      </w:r>
      <w:r>
        <w:rPr>
          <w:rFonts w:hint="eastAsia" w:ascii="宋体" w:hAnsi="宋体" w:eastAsia="方正楷体_GBK" w:cs="方正楷体_GBK"/>
          <w:color w:val="000000"/>
          <w:sz w:val="32"/>
          <w:szCs w:val="32"/>
          <w:highlight w:val="none"/>
        </w:rPr>
        <w:t xml:space="preserve"> Schreb.</w:t>
      </w:r>
    </w:p>
    <w:p w14:paraId="1BD271D6">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34E4461B">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000000"/>
          <w:sz w:val="32"/>
          <w:szCs w:val="32"/>
          <w:highlight w:val="none"/>
        </w:rPr>
        <w:t>‘德梅特’、</w:t>
      </w:r>
      <w:r>
        <w:rPr>
          <w:rFonts w:hint="eastAsia" w:ascii="宋体" w:hAnsi="宋体" w:eastAsia="方正仿宋_GBK" w:cs="方正仿宋_GBK"/>
          <w:color w:val="auto"/>
          <w:sz w:val="32"/>
          <w:szCs w:val="32"/>
          <w:highlight w:val="none"/>
        </w:rPr>
        <w:t>‘法恩’、‘杰里’、‘云羊茅1号’、</w:t>
      </w:r>
      <w:r>
        <w:rPr>
          <w:rFonts w:hint="eastAsia" w:ascii="宋体" w:hAnsi="宋体" w:eastAsia="方正仿宋_GBK" w:cs="方正仿宋_GBK"/>
          <w:color w:val="000000"/>
          <w:sz w:val="32"/>
          <w:szCs w:val="32"/>
          <w:highlight w:val="none"/>
        </w:rPr>
        <w:t>‘猎狗’、‘可奇思’</w:t>
      </w:r>
      <w:r>
        <w:rPr>
          <w:rFonts w:hint="eastAsia" w:ascii="宋体" w:hAnsi="宋体" w:eastAsia="方正仿宋_GBK" w:cs="方正仿宋_GBK"/>
          <w:color w:val="auto"/>
          <w:sz w:val="32"/>
          <w:szCs w:val="32"/>
          <w:highlight w:val="none"/>
        </w:rPr>
        <w:t>等苇状羊茅。</w:t>
      </w:r>
    </w:p>
    <w:p w14:paraId="2214B672">
      <w:pPr>
        <w:spacing w:before="0" w:after="0" w:line="560" w:lineRule="exact"/>
        <w:ind w:firstLine="643" w:firstLineChars="200"/>
        <w:jc w:val="both"/>
        <w:outlineLvl w:val="1"/>
        <w:rPr>
          <w:rFonts w:hint="eastAsia" w:ascii="宋体" w:hAnsi="宋体" w:eastAsia="方正仿宋_GBK" w:cs="方正仿宋_GBK"/>
          <w:b/>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5675E0B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‘德梅特’：分蘖能力极强，干物质产量较普通品种高35%，粗蛋白含量达16%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18%，适口性好，再生速度快，每年可刈割4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6次，年产干草可达1.0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1.2吨/亩・年。适宜海拔800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以上区域，迪庆、丽江及昆明等地表现突出，耐</w:t>
      </w:r>
      <w:r>
        <w:rPr>
          <w:rFonts w:hint="eastAsia" w:ascii="宋体" w:hAnsi="宋体" w:eastAsia="方正仿宋_GBK" w:cs="方正仿宋_GBK"/>
          <w:color w:val="auto"/>
          <w:sz w:val="32"/>
          <w:szCs w:val="32"/>
          <w:highlight w:val="none"/>
          <w:lang w:val="en-US" w:eastAsia="zh-CN"/>
        </w:rPr>
        <w:t>零下</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短期低温，适用于高山草场、青贮基地及退化草场改良。​</w:t>
      </w:r>
    </w:p>
    <w:p w14:paraId="2692A79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‘法恩’：高产品种，分蘖能力极强，干物质产量较普通品种高40%，粗蛋白含量达13.5%，适口性好，再生速度快，每年可刈割4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5次，年产干草可达1.2吨/亩・年。适宜海拔800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2300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以上区域，昆明周边、玉溪、曲靖等滇中地区规模化种植，是养殖企业的优质饲料来源。​</w:t>
      </w:r>
    </w:p>
    <w:p w14:paraId="2CBB26FD">
      <w:pPr>
        <w:spacing w:before="0" w:after="0" w:line="560" w:lineRule="exact"/>
        <w:ind w:firstLine="640" w:firstLineChars="200"/>
        <w:jc w:val="both"/>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color w:val="auto"/>
          <w:sz w:val="32"/>
          <w:szCs w:val="32"/>
          <w:highlight w:val="none"/>
        </w:rPr>
        <w:t>‘杰里’：耐寒型品种，在</w:t>
      </w:r>
      <w:r>
        <w:rPr>
          <w:rFonts w:hint="eastAsia" w:ascii="宋体" w:hAnsi="宋体" w:eastAsia="方正仿宋_GBK" w:cs="方正仿宋_GBK"/>
          <w:color w:val="auto"/>
          <w:sz w:val="32"/>
          <w:szCs w:val="32"/>
          <w:highlight w:val="none"/>
          <w:lang w:val="en-US" w:eastAsia="zh-CN"/>
        </w:rPr>
        <w:t>零下</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低温下可安全越冬，高海拔地区生长稳定，抗锈病、白粉病能力突出，叶片保留率高，冬季枯黄期短，年产干草可达1.0吨/亩・年。适宜海拔1200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19</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以上区域，丽江、昭通、迪庆等冷凉地区表现优异，绿期达260天以上。适用于高海拔多年生草场、高寒山地生态修复</w:t>
      </w:r>
      <w:r>
        <w:rPr>
          <w:rFonts w:hint="eastAsia" w:ascii="宋体" w:hAnsi="宋体" w:eastAsia="方正仿宋_GBK" w:cs="方正仿宋_GBK"/>
          <w:color w:val="auto"/>
          <w:sz w:val="32"/>
          <w:szCs w:val="32"/>
          <w:highlight w:val="none"/>
          <w:lang w:eastAsia="zh-CN"/>
        </w:rPr>
        <w:t>。</w:t>
      </w:r>
    </w:p>
    <w:p w14:paraId="38798D4A">
      <w:pPr>
        <w:spacing w:before="0" w:after="0" w:line="560" w:lineRule="exact"/>
        <w:ind w:firstLine="0" w:firstLineChars="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val="en-US" w:eastAsia="zh-CN"/>
        </w:rPr>
        <w:t xml:space="preserve">    </w:t>
      </w:r>
      <w:r>
        <w:rPr>
          <w:rFonts w:hint="eastAsia" w:ascii="宋体" w:hAnsi="宋体" w:eastAsia="方正仿宋_GBK" w:cs="方正仿宋_GBK"/>
          <w:color w:val="auto"/>
          <w:sz w:val="32"/>
          <w:szCs w:val="32"/>
          <w:highlight w:val="none"/>
        </w:rPr>
        <w:t>‘云羊茅1号’：针对性优化了对高原红壤的适应性，耐酸性增强，在pH值5.0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8.0的土壤中均可生长，抗倒伏能力强，茎秆坚韧，年产干草可达1.1吨/亩・年。适宜海拔1000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以上区域，大理、楚雄、文山等地区种植效果好，与豆科牧草混播优势显著。适用于云南本地多年生草场、生态边坡防护，兼顾产量与适应性。​</w:t>
      </w:r>
    </w:p>
    <w:p w14:paraId="3BD6C29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‘猎狗’：速生型品种，分蘖旺盛，茎叶比例协调，干物质产量较普通品种高30%，粗蛋白含量达15%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17%，适口性佳，再生能力强，每年可刈割5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6次，年产干草可达1.1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1.3吨/亩・年。适宜海拔900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以上区域，普洱、临沧、保山等滇西南地区种植表现好，耐湿热能力突出。主要用于优质青饲供应及林下牧草种植。​</w:t>
      </w:r>
    </w:p>
    <w:p w14:paraId="066BE35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‘可奇思’：抗逆性综合品种，耐干旱、耐贫瘠能力强，干物质产量较普通品种高28%，粗蛋白含量达14%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16%，叶片柔嫩，适口性好，每年可刈割4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5次，年产干草可达1.0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1.2吨/亩・年。适宜海拔1100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2700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以上区域，红河、怒江、迪庆等多地均可种植，抗病虫害能力优异。适用于干旱山地草场、退耕还草及放牧草场建设。</w:t>
      </w:r>
    </w:p>
    <w:p w14:paraId="509D0501">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3680F42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播种：滇中滇西地区3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4月春播或8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9月秋播，高海拔地区以春播为主（4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5月）；播种量8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/亩（单播），混播时降至4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/亩，条播行距35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，覆土1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，播后镇压。</w:t>
      </w:r>
    </w:p>
    <w:p w14:paraId="5B73BE3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水肥：播前施过磷酸钙30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/亩+尿素5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/亩作基肥，刈割后追施尿素8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/亩促再生；耐旱性强，生长期自然降水即可满足需求，干旱时补水1次，忌积水，雨季做好排水。</w:t>
      </w:r>
    </w:p>
    <w:p w14:paraId="5FBBE5A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除杂：苗期生长较慢，阔叶杂草人工拔除或喷施2甲4氯钠防治，禾本科杂草在3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5叶期喷施精恶唑禾草灵；成株后株型高大，竞争力强，杂草难以滋生。</w:t>
      </w:r>
    </w:p>
    <w:p w14:paraId="5F218F7F">
      <w:pPr>
        <w:pStyle w:val="3"/>
        <w:widowControl/>
        <w:spacing w:before="0" w:beforeAutospacing="0" w:after="0" w:afterAutospacing="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利用：在孕穗期至抽穗期刈割，留茬高度10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；作放牧草场时，轮牧间隔40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50天；常与紫花苜蓿、红三叶混播，苇状羊茅占60%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70%，提升草场多年生稳定性与产量。</w:t>
      </w:r>
    </w:p>
    <w:p w14:paraId="4732F681">
      <w:pPr>
        <w:spacing w:before="0" w:after="0" w:line="560" w:lineRule="exact"/>
        <w:ind w:firstLine="640" w:firstLineChars="200"/>
        <w:jc w:val="both"/>
        <w:outlineLvl w:val="0"/>
        <w:rPr>
          <w:rFonts w:hint="eastAsia" w:ascii="宋体" w:hAnsi="宋体" w:eastAsia="方正仿宋_GBK" w:cs="方正仿宋_GBK"/>
          <w:color w:val="auto"/>
          <w:sz w:val="32"/>
          <w:szCs w:val="32"/>
          <w:highlight w:val="none"/>
        </w:rPr>
      </w:pPr>
      <w:r>
        <w:rPr>
          <w:rFonts w:hint="eastAsia" w:ascii="宋体" w:hAnsi="宋体" w:eastAsia="方正楷体_GBK" w:cs="方正楷体_GBK"/>
          <w:b w:val="0"/>
          <w:bCs/>
          <w:color w:val="auto"/>
          <w:sz w:val="32"/>
          <w:szCs w:val="32"/>
          <w:highlight w:val="none"/>
        </w:rPr>
        <w:t>（十）苏丹草</w:t>
      </w:r>
      <w:r>
        <w:rPr>
          <w:rFonts w:hint="eastAsia" w:ascii="宋体" w:hAnsi="宋体" w:eastAsia="方正仿宋_GBK" w:cs="方正仿宋_GBK"/>
          <w:b w:val="0"/>
          <w:bCs/>
          <w:i/>
          <w:iCs/>
          <w:color w:val="auto"/>
          <w:sz w:val="32"/>
          <w:szCs w:val="32"/>
          <w:highlight w:val="none"/>
        </w:rPr>
        <w:t>Sorghum sudanense</w:t>
      </w:r>
      <w:r>
        <w:rPr>
          <w:rFonts w:hint="eastAsia" w:ascii="宋体" w:hAnsi="宋体" w:eastAsia="方正仿宋_GBK" w:cs="方正仿宋_GBK"/>
          <w:b w:val="0"/>
          <w:bCs/>
          <w:color w:val="auto"/>
          <w:sz w:val="32"/>
          <w:szCs w:val="32"/>
          <w:highlight w:val="none"/>
        </w:rPr>
        <w:t xml:space="preserve"> (Piper) Stapf.</w:t>
      </w:r>
    </w:p>
    <w:p w14:paraId="59338D90">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2AE8931C">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‘苏牧1号’、‘海牛’、‘云苏丹1号’等苏丹草。</w:t>
      </w:r>
    </w:p>
    <w:p w14:paraId="475986D3">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6DCC69E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‘苏牧1号’：茎秆柔软，适口性好，粗蛋白含量达14.2%，不易倒伏，再生能力强，刈割后7</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10天即可快速返青，年产干草可达1.5吨/亩・年。适宜海拔700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、年均温17</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27</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以上区域，普洱、文山、西双版纳等滇南地区表现突出，每年可刈割5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6次。</w:t>
      </w:r>
    </w:p>
    <w:p w14:paraId="65B5626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‘海牛’：株型高大，可达2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3米，干物质产量高，抗叶斑病、锈病能力强，在高温高湿环境下生长稳定，年产干草可达1.6吨/亩・年。适宜海拔800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1700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以上区域，昆明周边、玉溪、曲靖等滇中地区规模化种植，耐旱性与耐涝性均较强。</w:t>
      </w:r>
    </w:p>
    <w:p w14:paraId="526505D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‘云苏丹1号’：耐干热能力突出，在滇中半干热区域生长稳定，水分利用效率高，在少水条件下仍能保持较高产量，年产干草可达1.4吨/亩・年。适宜海拔600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、年均温17</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28</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、年降水量450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以上区域，楚雄、大理南部、文山北部等地区均可种植，生长周期短（80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100天），可多季种植。</w:t>
      </w:r>
    </w:p>
    <w:p w14:paraId="43EF6538">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4867A42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播种：滇中滇南地区4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5月春播最佳，干热河谷地区3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4月播种，可连作2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3季；播种量3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/亩，条播行距40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，覆土2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，播后镇压，可与豆科牧草混播。</w:t>
      </w:r>
    </w:p>
    <w:p w14:paraId="2373ADD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水肥：需肥量大，播前施腐熟农家肥2000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/亩+过磷酸钙30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/亩+尿素10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/亩作基肥，刈割后追施尿素15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/亩促再生；耐旱性中等，生长期需保持土壤湿润，干旱时及时灌溉，忌积水。</w:t>
      </w:r>
    </w:p>
    <w:p w14:paraId="597BD10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除杂：苗期生长较快，但仍需人工拔除杂草，或在播种前喷施除草剂进行土壤处理；株高达到50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后生长优势明显，可快速抑制杂草滋生。</w:t>
      </w:r>
    </w:p>
    <w:p w14:paraId="74277867">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利用：在孕穗期刈割，留茬高度15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，每年可刈割3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6次；作青贮时在抽穗期刈割，水分含量适宜；与光叶紫花苕混播时，苏丹草占70%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80%，提升饲料品质，注意避免与高粱属作物连作。</w:t>
      </w:r>
    </w:p>
    <w:p w14:paraId="1B9E621C">
      <w:pPr>
        <w:spacing w:before="0" w:after="0" w:line="560" w:lineRule="exact"/>
        <w:ind w:firstLine="640" w:firstLineChars="200"/>
        <w:jc w:val="both"/>
        <w:outlineLvl w:val="0"/>
        <w:rPr>
          <w:rFonts w:hint="eastAsia" w:ascii="宋体" w:hAnsi="宋体" w:eastAsia="方正仿宋_GBK" w:cs="方正仿宋_GBK"/>
          <w:color w:val="auto"/>
          <w:sz w:val="32"/>
          <w:szCs w:val="32"/>
          <w:highlight w:val="none"/>
        </w:rPr>
      </w:pPr>
      <w:r>
        <w:rPr>
          <w:rFonts w:hint="eastAsia" w:ascii="方正楷体_GBK" w:hAnsi="方正楷体_GBK" w:eastAsia="方正楷体_GBK" w:cs="方正楷体_GBK"/>
          <w:b w:val="0"/>
          <w:bCs/>
          <w:color w:val="auto"/>
          <w:sz w:val="32"/>
          <w:szCs w:val="32"/>
          <w:highlight w:val="none"/>
        </w:rPr>
        <w:t>（十一）无芒雀麦</w:t>
      </w:r>
      <w:r>
        <w:rPr>
          <w:rFonts w:hint="eastAsia" w:ascii="宋体" w:hAnsi="宋体" w:eastAsia="方正仿宋_GBK" w:cs="方正仿宋_GBK"/>
          <w:b w:val="0"/>
          <w:bCs/>
          <w:color w:val="auto"/>
          <w:sz w:val="32"/>
          <w:szCs w:val="32"/>
          <w:highlight w:val="none"/>
        </w:rPr>
        <w:t>Bromus inermis Leyss.</w:t>
      </w:r>
    </w:p>
    <w:p w14:paraId="54CFA58C">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46B3007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‘奇台’、‘蒙农1号’、‘云雀麦1号’等无芒雀麦。</w:t>
      </w:r>
    </w:p>
    <w:p w14:paraId="484E3F82">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6BF4EDE4">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‘奇台’：耐寒性突出，在</w:t>
      </w:r>
      <w:r>
        <w:rPr>
          <w:rFonts w:hint="eastAsia" w:ascii="宋体" w:hAnsi="宋体" w:eastAsia="方正仿宋_GBK" w:cs="方正仿宋_GBK"/>
          <w:color w:val="auto"/>
          <w:sz w:val="32"/>
          <w:szCs w:val="32"/>
          <w:highlight w:val="none"/>
          <w:lang w:val="en-US" w:eastAsia="zh-CN"/>
        </w:rPr>
        <w:t>零下</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低温下可安全越冬，根系深达2米以上，耐旱性强，在干旱山地仍能正常生长，粗蛋白含量达13.8%，年产干草可达1.0吨/亩・年。适宜海拔1500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以上区域，香格里拉、丽江雪山周边、昭通大山包等地区表现优异，绿期达270天以上。主要用于高海拔高寒草场、干旱山地生态修复、冬季优质牧草生产。</w:t>
      </w:r>
    </w:p>
    <w:p w14:paraId="02E762D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‘蒙农1号’：分蘖能力强，形成密集草丛，耐盐碱能力较普通品种提升，在滇东轻度盐碱化土壤中仍能生长，抗锈病能力强，年产干草可达0.9吨/亩・年。适宜海拔1000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19</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以上区域，曲靖东部、楚雄北部等轻度盐碱区域种植广泛，与豆科牧草混播效果好。适用于轻度盐碱地改良、山地放牧草场、多年生混播草场建植。</w:t>
      </w:r>
    </w:p>
    <w:p w14:paraId="36530F5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‘云雀麦1号’：针对性优化了对高原季风气候的适应性，在昼夜温差大的区域生物量稳定，再生能力强，刈割后恢复快，年产干草可达0.95吨/亩・年。适宜海拔1100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以上区域，曲靖会泽、大理洱源、丽江永胜等地区均可种植，适口性好，牛羊喜食。适用于云南高海拔多年生草场、生态边坡防护，适配高寒地区养殖需求。</w:t>
      </w:r>
    </w:p>
    <w:p w14:paraId="03A01AD7">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57A652BA">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播种：高海拔地区5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6月春播，滇中冷凉地区8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9月秋播最佳；播种量6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/亩（单播），混播时降至3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/亩，条播行距30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，覆土1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，播后镇压，种子可提前晒种提高发芽率。</w:t>
      </w:r>
    </w:p>
    <w:p w14:paraId="5697853A">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水肥：播前施过磷酸钙25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/亩+腐熟有机肥1500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/亩作基肥，苗期追施尿素3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/亩，刈割后追施磷钾肥10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/亩；耐旱性强，自然降水基本满足需求，仅极端干旱时补水1次。</w:t>
      </w:r>
    </w:p>
    <w:p w14:paraId="613F42E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除杂：苗期生长缓慢，需人工拔除阔叶杂草，禾本科杂草可喷施精恶唑禾草灵防治；成株后根茎发达，竞争力强，杂草难以侵入，后期除草频次减少。</w:t>
      </w:r>
    </w:p>
    <w:p w14:paraId="51BD8D8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利用：在孕穗期刈割，留茬高度8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，每年可刈割3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4次；作放牧草场时，轮牧间隔35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45天；常与紫花苜蓿、‘巴东’红三叶混播，无芒雀麦占60%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70%，提升草场多年生稳定性与营养均衡性。</w:t>
      </w:r>
    </w:p>
    <w:p w14:paraId="4FDC1AA1">
      <w:pPr>
        <w:spacing w:before="0" w:after="0" w:line="560" w:lineRule="exact"/>
        <w:ind w:firstLine="640" w:firstLineChars="200"/>
        <w:jc w:val="both"/>
        <w:outlineLvl w:val="0"/>
        <w:rPr>
          <w:rFonts w:hint="eastAsia" w:ascii="宋体" w:hAnsi="宋体" w:eastAsia="方正楷体_GBK" w:cs="方正楷体_GBK"/>
          <w:bCs/>
          <w:color w:val="auto"/>
          <w:sz w:val="32"/>
          <w:szCs w:val="32"/>
          <w:highlight w:val="none"/>
        </w:rPr>
      </w:pPr>
      <w:r>
        <w:rPr>
          <w:rFonts w:hint="eastAsia" w:ascii="宋体" w:hAnsi="宋体" w:eastAsia="方正楷体_GBK" w:cs="方正楷体_GBK"/>
          <w:bCs/>
          <w:color w:val="auto"/>
          <w:sz w:val="32"/>
          <w:szCs w:val="32"/>
          <w:highlight w:val="none"/>
        </w:rPr>
        <w:t>（十二）鸭茅</w:t>
      </w:r>
      <w:r>
        <w:rPr>
          <w:rFonts w:hint="eastAsia" w:ascii="宋体" w:hAnsi="宋体" w:eastAsia="方正楷体_GBK" w:cs="方正楷体_GBK"/>
          <w:bCs/>
          <w:i/>
          <w:iCs/>
          <w:color w:val="auto"/>
          <w:sz w:val="32"/>
          <w:szCs w:val="32"/>
          <w:highlight w:val="none"/>
        </w:rPr>
        <w:t>Dactylis glomerata</w:t>
      </w:r>
      <w:r>
        <w:rPr>
          <w:rFonts w:hint="eastAsia" w:ascii="宋体" w:hAnsi="宋体" w:eastAsia="方正楷体_GBK" w:cs="方正楷体_GBK"/>
          <w:bCs/>
          <w:color w:val="auto"/>
          <w:sz w:val="32"/>
          <w:szCs w:val="32"/>
          <w:highlight w:val="none"/>
        </w:rPr>
        <w:t xml:space="preserve"> L.</w:t>
      </w:r>
    </w:p>
    <w:p w14:paraId="705241ED">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28D8334E">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‘宝兴’、‘安巴’、‘云鸭茅1号’等鸭茅。</w:t>
      </w:r>
    </w:p>
    <w:p w14:paraId="0E567FB4">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5626AD7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‘宝兴’鸭茅：分蘖能力强，生物量高，粗蛋白含量达14.5%，适口性极佳，牛羊采食后增重效果显著，再生速度快，每年可刈割4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5次，年产干草可达1.0吨/亩・年。适宜海拔800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以上区域，昆明周边、玉溪、曲靖等滇中地区规模化种植，与豆科牧草混播优势突出。主要用于规模化牧草基地、优质青贮饲料生产。</w:t>
      </w:r>
    </w:p>
    <w:p w14:paraId="77093F4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‘安巴’鸭茅：耐寒冷、耐干旱能力均较强，在高海拔冷凉地区可安全越冬，抗白粉病、锈病能力突出，叶片保留率高，冬季枯黄期短，年产干草可达0.9吨/亩・年。适宜海拔1200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以上区域，丽江、昭通、迪庆等冷凉地区表现优异，绿期达260天以上。适用于高海拔人工草场、山地生态修复及林下牧草种植。</w:t>
      </w:r>
    </w:p>
    <w:p w14:paraId="463A238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‘云鸭茅1号’：针对性优化了对云南酸性红壤的适应性，耐酸性增强，在pH值5.0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7.5的土壤中均可生长，抗倒伏能力强，在多雨地区不易倒伏，年产干草可达0.95吨/亩・年。适宜海拔1000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2300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以上区域，大理、楚雄、文山等地区种植效果好，一次种植可利用5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7年。适用于云南本地林下牧草、山地放牧草场、混播草场建植。</w:t>
      </w:r>
    </w:p>
    <w:p w14:paraId="20AC7FF0">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05CC16C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播种：滇中滇西地区3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4月春播或8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9月秋播，高海拔地区4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5月春播；播种量7</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/亩（单播），混播时降至3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/亩，条播行距25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，覆土0.5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，播后轻镇压，种子可接种菌剂提高发芽率。</w:t>
      </w:r>
    </w:p>
    <w:p w14:paraId="10D809E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水肥：播前施过磷酸钙30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/亩+尿素5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/亩作基肥，苗期追施尿素3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/亩，刈割后追施尿素8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/亩促再生；喜湿润，生长期需保持土壤湿润，干旱时及时灌溉，雨季做好排水防涝。</w:t>
      </w:r>
    </w:p>
    <w:p w14:paraId="4D3ADDA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除杂：苗期生长较慢，阔叶杂草人工拔除或喷施2甲4氯钠防治，禾本科杂草在3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5叶期喷施精恶唑禾草灵；成株后株型高大，竞争力强，杂草难以滋生。</w:t>
      </w:r>
    </w:p>
    <w:p w14:paraId="0321BA26">
      <w:pPr>
        <w:pStyle w:val="3"/>
        <w:widowControl/>
        <w:shd w:val="clear" w:color="auto" w:fill="FFFFFF"/>
        <w:spacing w:before="0" w:beforeAutospacing="0" w:after="0" w:afterAutospacing="0" w:line="560" w:lineRule="exact"/>
        <w:ind w:firstLine="640" w:firstLineChars="200"/>
        <w:jc w:val="both"/>
        <w:rPr>
          <w:rFonts w:hint="eastAsia" w:ascii="宋体" w:hAnsi="宋体" w:eastAsia="方正楷体_GBK" w:cs="方正楷体_GBK"/>
          <w:color w:val="000000"/>
          <w:sz w:val="32"/>
          <w:szCs w:val="32"/>
          <w:highlight w:val="none"/>
        </w:rPr>
      </w:pPr>
      <w:r>
        <w:rPr>
          <w:rFonts w:hint="eastAsia" w:ascii="宋体" w:hAnsi="宋体" w:eastAsia="方正仿宋_GBK" w:cs="方正仿宋_GBK"/>
          <w:color w:val="auto"/>
          <w:sz w:val="32"/>
          <w:szCs w:val="32"/>
          <w:highlight w:val="none"/>
        </w:rPr>
        <w:t>利用：在孕穗期至抽穗期刈割，留茬高度5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；作林下牧草时，可在疏林地直接播种，无需砍伐树木；常与白三叶、红三叶混播，鸭茅占60%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70%，提升草场产量与品质，是云南林下经济与养殖结合的理想草种。</w:t>
      </w:r>
    </w:p>
    <w:p w14:paraId="2D507EF6">
      <w:pPr>
        <w:spacing w:line="560" w:lineRule="exact"/>
        <w:ind w:firstLine="640" w:firstLineChars="200"/>
        <w:rPr>
          <w:rFonts w:hint="eastAsia" w:ascii="宋体" w:hAnsi="宋体" w:eastAsia="方正黑体_GBK" w:cs="方正黑体_GBK"/>
          <w:color w:val="000000"/>
          <w:sz w:val="32"/>
          <w:szCs w:val="32"/>
          <w:highlight w:val="none"/>
        </w:rPr>
      </w:pPr>
      <w:r>
        <w:rPr>
          <w:rFonts w:hint="eastAsia" w:ascii="宋体" w:hAnsi="宋体" w:eastAsia="方正黑体_GBK" w:cs="方正黑体_GBK"/>
          <w:color w:val="000000"/>
          <w:sz w:val="32"/>
          <w:szCs w:val="32"/>
          <w:highlight w:val="none"/>
        </w:rPr>
        <w:t>三、其他科草种</w:t>
      </w:r>
    </w:p>
    <w:p w14:paraId="18438F53">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（一）半夏</w:t>
      </w:r>
      <w:r>
        <w:rPr>
          <w:rFonts w:hint="eastAsia" w:ascii="宋体" w:hAnsi="宋体" w:eastAsia="方正楷体_GBK" w:cs="方正楷体_GBK"/>
          <w:i/>
          <w:iCs/>
          <w:color w:val="000000"/>
          <w:sz w:val="32"/>
          <w:szCs w:val="32"/>
          <w:highlight w:val="none"/>
        </w:rPr>
        <w:t>Pinellia ternata</w:t>
      </w:r>
      <w:r>
        <w:rPr>
          <w:rFonts w:hint="eastAsia" w:ascii="宋体" w:hAnsi="宋体" w:eastAsia="方正楷体_GBK" w:cs="方正楷体_GBK"/>
          <w:color w:val="000000"/>
          <w:sz w:val="32"/>
          <w:szCs w:val="32"/>
          <w:highlight w:val="none"/>
        </w:rPr>
        <w:t xml:space="preserve"> (Thunb.) Makino</w:t>
      </w:r>
    </w:p>
    <w:p w14:paraId="05CE0B43">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59B0CABA">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‘滇半夏1号’、‘祁半夏’等。</w:t>
      </w:r>
    </w:p>
    <w:p w14:paraId="5D19272E">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343F1DAE">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‘滇半夏1号’：适应高原多雾气候，抗根腐病能力较普通品种强40%，块茎产量提高25%以上，药用成分β</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谷甾醇含量达0.08%。适宜海拔1000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区域，昆明周边、玉溪澄江、文山马关等地规模化种植，出苗率可达90%以上。</w:t>
      </w:r>
    </w:p>
    <w:p w14:paraId="36E49B0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‘祁半夏’：块茎饱满、品质上乘，加工后商品性好，耐储存，在干燥环境下可保存6个月以上不变质。适宜海拔900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23</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、年降水量850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1300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区域，普洱、临沧、德宏等滇南湿润地区表现突出，适合与玉米、果树间作套种，提高土地利用率。</w:t>
      </w:r>
    </w:p>
    <w:p w14:paraId="5DF8B64F">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70AE3F3C">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播种：以块茎繁殖为主，滇中地区2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3月春播，滇南地区11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12月冬播；选择直径1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的健康块茎，播种量80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/亩，按行距20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、株距15</w:t>
      </w:r>
      <w:r>
        <w:rPr>
          <w:rFonts w:hint="default" w:ascii="宋体" w:hAnsi="宋体" w:eastAsia="方正仿宋_GBK" w:cs="方正仿宋_GBK"/>
          <w:color w:val="auto"/>
          <w:sz w:val="32"/>
          <w:szCs w:val="32"/>
          <w:highlight w:val="none"/>
          <w:lang w:val="en"/>
        </w:rPr>
        <w:t xml:space="preserve"> 厘米</w:t>
      </w:r>
      <w:r>
        <w:rPr>
          <w:rFonts w:hint="eastAsia" w:ascii="宋体" w:hAnsi="宋体" w:eastAsia="方正仿宋_GBK" w:cs="方正仿宋_GBK"/>
          <w:color w:val="auto"/>
          <w:sz w:val="32"/>
          <w:szCs w:val="32"/>
          <w:highlight w:val="none"/>
        </w:rPr>
        <w:t>点播，覆土3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，播后覆盖稻草保湿。</w:t>
      </w:r>
    </w:p>
    <w:p w14:paraId="785ED72A">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水肥：播前施腐熟农家肥2000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/亩+过磷酸钙30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/亩作基肥，苗期追施腐熟饼肥50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/亩，块茎膨大期追施磷钾肥20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/亩；喜湿润但忌积水，土壤含水量保持在25%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30%为宜，雨季及时挖沟排水，干旱时采用滴灌补水。</w:t>
      </w:r>
    </w:p>
    <w:p w14:paraId="601BA44B">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eastAsia="zh-CN"/>
        </w:rPr>
        <w:t>管理</w:t>
      </w:r>
      <w:r>
        <w:rPr>
          <w:rFonts w:hint="eastAsia" w:ascii="宋体" w:hAnsi="宋体" w:eastAsia="方正仿宋_GBK" w:cs="方正仿宋_GBK"/>
          <w:color w:val="auto"/>
          <w:sz w:val="32"/>
          <w:szCs w:val="32"/>
          <w:highlight w:val="none"/>
        </w:rPr>
        <w:t>：苗高10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时进行中耕除草，结合除草进行培土，防止块茎外露；搭建遮阳棚，保持遮阴率70%左右，避免强光灼伤叶片；病虫害以根腐病和蚜虫为主，根腐病可喷施多菌灵防治，蚜虫用吡虫啉喷雾灭杀。</w:t>
      </w:r>
    </w:p>
    <w:p w14:paraId="6473996F">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（二）白芨</w:t>
      </w:r>
      <w:r>
        <w:rPr>
          <w:rFonts w:hint="eastAsia" w:ascii="宋体" w:hAnsi="宋体" w:eastAsia="方正楷体_GBK" w:cs="方正楷体_GBK"/>
          <w:i/>
          <w:iCs/>
          <w:color w:val="000000"/>
          <w:sz w:val="32"/>
          <w:szCs w:val="32"/>
          <w:highlight w:val="none"/>
        </w:rPr>
        <w:t xml:space="preserve">Bletilla striata </w:t>
      </w:r>
      <w:r>
        <w:rPr>
          <w:rFonts w:hint="eastAsia" w:ascii="宋体" w:hAnsi="宋体" w:eastAsia="方正楷体_GBK" w:cs="方正楷体_GBK"/>
          <w:color w:val="000000"/>
          <w:sz w:val="32"/>
          <w:szCs w:val="32"/>
          <w:highlight w:val="none"/>
        </w:rPr>
        <w:t>(Thunb.) Rchb.f.</w:t>
      </w:r>
    </w:p>
    <w:p w14:paraId="1F2DC511">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0A74D1B6">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eastAsia="zh-CN"/>
        </w:rPr>
        <w:t>普通白芨、</w:t>
      </w:r>
      <w:r>
        <w:rPr>
          <w:rFonts w:hint="eastAsia" w:ascii="宋体" w:hAnsi="宋体" w:eastAsia="方正仿宋_GBK" w:cs="方正仿宋_GBK"/>
          <w:color w:val="auto"/>
          <w:sz w:val="32"/>
          <w:szCs w:val="32"/>
          <w:highlight w:val="none"/>
        </w:rPr>
        <w:t>‘滇白芨1号’、‘紫花白芨’等。</w:t>
      </w:r>
    </w:p>
    <w:p w14:paraId="1B28CE3F">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0E6AD47C">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普通白芨：喜温暖湿润、耐阴，对云南酸性红壤、腐殖质土适应性极佳，假鳞茎呈链状连接，生长旺盛，药用价值高。适宜海拔1200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、年降水量900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区域，丽江、昭通、迪庆等冷凉湿润地区生长稳定，在医药和化妆品领域应用广泛。</w:t>
      </w:r>
    </w:p>
    <w:p w14:paraId="2909491B">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‘滇白芨1号’：假鳞茎产量较普通品种高30%，胶质含量达38%，抗黑斑病能力突出，在高海拔多湿环境下发病率低于5%。适宜海拔1500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、年降水量850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1400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区域，香格里拉、丽江永胜、曲靖会泽等地种植效果优异。</w:t>
      </w:r>
    </w:p>
    <w:p w14:paraId="7FC0D76A">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‘紫花白芨’：观赏与药用兼用品种，花瓣呈紫色，花期长（4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6月），可用于庭院绿化和切花生产，假鳞茎品质与普通白芨相当。适宜海拔1000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、年降水量950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1300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w:t>
      </w:r>
    </w:p>
    <w:p w14:paraId="3A400344">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56B9D43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播种：采用块茎繁殖或组培苗移栽，最佳播种时间为3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4月；块茎播种量120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/亩，按行距25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、株距20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种植，覆土4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；组培苗移栽密度为1.2万株/亩，移栽后浇透定根水。</w:t>
      </w:r>
    </w:p>
    <w:p w14:paraId="2A4B3CB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水肥：施足底肥，以腐熟羊粪1500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/亩+磷酸二氢钾20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/亩混合施用；生长期每月追施一次叶面肥（0.2%磷酸二氢钾溶液），保持土壤湿润，空气相对湿度60%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70%，干旱时早晚喷水保湿。</w:t>
      </w:r>
    </w:p>
    <w:p w14:paraId="42845E5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eastAsia="zh-CN"/>
        </w:rPr>
        <w:t>管理</w:t>
      </w:r>
      <w:r>
        <w:rPr>
          <w:rFonts w:hint="eastAsia" w:ascii="宋体" w:hAnsi="宋体" w:eastAsia="方正仿宋_GBK" w:cs="方正仿宋_GBK"/>
          <w:color w:val="auto"/>
          <w:sz w:val="32"/>
          <w:szCs w:val="32"/>
          <w:highlight w:val="none"/>
        </w:rPr>
        <w:t>：选择疏林地或搭建遮阳网（遮阴率60%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70%），避免阳光直射；每年中耕除草2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3次，结合除草进行培土；病虫害主要有根腐病和蛴螬，根腐病用腐霉利防治，蛴螬采用毒饵诱杀。</w:t>
      </w:r>
    </w:p>
    <w:p w14:paraId="15B230F5">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（三）草血竭</w:t>
      </w:r>
      <w:r>
        <w:rPr>
          <w:rFonts w:hint="eastAsia" w:ascii="宋体" w:hAnsi="宋体" w:eastAsia="方正楷体_GBK" w:cs="方正楷体_GBK"/>
          <w:i/>
          <w:iCs/>
          <w:color w:val="000000"/>
          <w:sz w:val="32"/>
          <w:szCs w:val="32"/>
          <w:highlight w:val="none"/>
        </w:rPr>
        <w:t>Bistorta paleacea</w:t>
      </w:r>
      <w:r>
        <w:rPr>
          <w:rFonts w:hint="eastAsia" w:ascii="宋体" w:hAnsi="宋体" w:eastAsia="方正楷体_GBK" w:cs="方正楷体_GBK"/>
          <w:color w:val="000000"/>
          <w:sz w:val="32"/>
          <w:szCs w:val="32"/>
          <w:highlight w:val="none"/>
        </w:rPr>
        <w:t xml:space="preserve"> (Wall. ex Hook. f.) Yonek. &amp; H. Ohashi</w:t>
      </w:r>
    </w:p>
    <w:p w14:paraId="7B04A506">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 适滇品种</w:t>
      </w:r>
    </w:p>
    <w:p w14:paraId="017F4B76">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普通草血竭、‘滇血竭1号’、‘川滇草血竭’、野生驯化草血竭等。</w:t>
      </w:r>
    </w:p>
    <w:p w14:paraId="6E1CB5FA">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58779D7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普通草血竭：多年生草本，喜凉爽湿润，耐贫瘠，对云南高原山地的砂质壤土和腐殖质土适应性强，根茎肉质，药用成分丰富。适宜海拔1800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区域，迪庆、丽江、昭通等高海拔地区生长良好，是云南少数民族常用药材。</w:t>
      </w:r>
    </w:p>
    <w:p w14:paraId="6236887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‘滇血竭1号’：根茎产量较野生品种提高50%，药用成分没食子酸含量达1.2%，抗寒能力强，可耐受</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低温。适宜海拔2000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3500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、年均温7</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14</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区域，香格里拉、德钦、宁蒗等地规模化种植，生长期3年即可收获，成活率达95%以上。</w:t>
      </w:r>
    </w:p>
    <w:p w14:paraId="6D278C0B">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‘川滇草血竭’：分布于川滇交界地区，适应性广，在半干旱和湿润环境下均可生长，根茎分枝多，繁殖能力强。适宜海拔1600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区域，楚雄武定、大理剑川、曲靖宣威等地有种植。</w:t>
      </w:r>
    </w:p>
    <w:p w14:paraId="216BDB6D">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7AF5DA6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播种：以种子繁殖或根茎分株繁殖为主，春播时间为4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5月，秋播为9</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10月；种子播种量1.5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，覆土1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；根茎分株繁殖按行距25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、株距15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种植，每穴栽1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2个带芽根茎。</w:t>
      </w:r>
    </w:p>
    <w:p w14:paraId="71458B2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水肥：播前施腐熟农家肥1000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/亩+过磷酸钙15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/亩作基肥，苗期追施尿素5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/亩，根茎膨大期追施磷钾肥10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/亩；耐旱性较强，土壤含水量保持在18%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22%即可，避免积水导致根茎腐烂。</w:t>
      </w:r>
    </w:p>
    <w:p w14:paraId="5357FE6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eastAsia="zh-CN"/>
        </w:rPr>
        <w:t>管理</w:t>
      </w:r>
      <w:r>
        <w:rPr>
          <w:rFonts w:hint="eastAsia" w:ascii="宋体" w:hAnsi="宋体" w:eastAsia="方正仿宋_GBK" w:cs="方正仿宋_GBK"/>
          <w:color w:val="auto"/>
          <w:sz w:val="32"/>
          <w:szCs w:val="32"/>
          <w:highlight w:val="none"/>
        </w:rPr>
        <w:t>：苗期及时除草，苗高15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时进行间苗，保持合理密度；高海拔地区冬季可覆盖秸秆防寒；病虫害较少，主要防治蚜虫和叶斑病，蚜虫用啶虫脒防治，叶斑病喷施代森锰锌。</w:t>
      </w:r>
    </w:p>
    <w:p w14:paraId="1626967B">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（四）重楼</w:t>
      </w:r>
      <w:r>
        <w:rPr>
          <w:rFonts w:hint="eastAsia" w:ascii="宋体" w:hAnsi="宋体" w:eastAsia="方正楷体_GBK" w:cs="方正楷体_GBK"/>
          <w:i/>
          <w:iCs/>
          <w:color w:val="000000"/>
          <w:sz w:val="32"/>
          <w:szCs w:val="32"/>
          <w:highlight w:val="none"/>
        </w:rPr>
        <w:t>Paris polyphylla</w:t>
      </w:r>
      <w:r>
        <w:rPr>
          <w:rFonts w:hint="eastAsia" w:ascii="宋体" w:hAnsi="宋体" w:eastAsia="方正楷体_GBK" w:cs="方正楷体_GBK"/>
          <w:color w:val="000000"/>
          <w:sz w:val="32"/>
          <w:szCs w:val="32"/>
          <w:highlight w:val="none"/>
        </w:rPr>
        <w:t xml:space="preserve"> var.</w:t>
      </w:r>
    </w:p>
    <w:p w14:paraId="1C7677CD">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6BC51927">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滇重楼、‘滇重楼1号’、‘华重楼’等。</w:t>
      </w:r>
    </w:p>
    <w:p w14:paraId="65BF9449">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089ABD43">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滇重楼：喜阴湿、耐寒，对云南疏松肥沃的腐殖质土适应性强，根茎粗壮，药用成分重楼皂苷含量高，是云南道地中药材。适宜海拔1600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区域，大理、丽江、普洱等滇西滇南地区生长良好。</w:t>
      </w:r>
    </w:p>
    <w:p w14:paraId="21C8616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‘滇重楼1号’：根茎产量较普通滇重楼提高40%，重楼皂苷Ⅰ+Ⅱ含量达0.8%（远超药典标准0.6%），抗根腐病和黑斑病能力显著增强。适宜海拔1800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、年均温9</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16</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、年降水量950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区域，文山、楚雄、迪庆等地规模化种植，生长期5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6年，经济效益显著。</w:t>
      </w:r>
    </w:p>
    <w:p w14:paraId="3A4C445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‘华重楼’：适应性广，在低海拔地区生长速度较快，根茎分枝少，便于加工，药用品质稳定。适宜海拔1200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、年降水量850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1300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区域，玉溪、红河、曲靖等中低海拔地区种植，可采用林下仿野生种植模式。</w:t>
      </w:r>
    </w:p>
    <w:p w14:paraId="3412CF04">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28448FC6">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播种：种子繁殖周期长（2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3年出苗），生产上多采用根茎切块繁殖，最佳时间为10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11月；切块规格为5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，带2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3个芽点，播种量200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/亩，按行距30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、株距25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种植，覆土5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，覆盖松针保湿。</w:t>
      </w:r>
    </w:p>
    <w:p w14:paraId="38EB648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水肥：施足底肥，以腐熟松针土2000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/亩+腐熟羊粪1000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/亩+磷酸二氢钾30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/亩混合施用；生长期保持土壤湿润，空气湿度75%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85%，每年追施2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3次有机肥（腐熟饼肥或羊粪），忌施化肥。</w:t>
      </w:r>
    </w:p>
    <w:p w14:paraId="53258944">
      <w:pPr>
        <w:spacing w:line="560" w:lineRule="exact"/>
        <w:ind w:firstLine="640" w:firstLineChars="200"/>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auto"/>
          <w:sz w:val="32"/>
          <w:szCs w:val="32"/>
          <w:highlight w:val="none"/>
          <w:lang w:eastAsia="zh-CN"/>
        </w:rPr>
        <w:t>管理</w:t>
      </w:r>
      <w:r>
        <w:rPr>
          <w:rFonts w:hint="eastAsia" w:ascii="宋体" w:hAnsi="宋体" w:eastAsia="方正仿宋_GBK" w:cs="方正仿宋_GBK"/>
          <w:color w:val="auto"/>
          <w:sz w:val="32"/>
          <w:szCs w:val="32"/>
          <w:highlight w:val="none"/>
        </w:rPr>
        <w:t>：必须搭建遮阳棚，遮阴率80%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90%，模拟野生生长环境；每年中耕除草1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2次，避免损伤根系；病虫害以根腐病和地老虎为主，根腐病用恶霉灵灌根防治，地老虎采用人工捕捉或毒饵诱杀。</w:t>
      </w:r>
    </w:p>
    <w:p w14:paraId="1003D71A">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 xml:space="preserve">（五）当归 </w:t>
      </w:r>
      <w:r>
        <w:rPr>
          <w:rFonts w:hint="eastAsia" w:ascii="宋体" w:hAnsi="宋体" w:eastAsia="方正楷体_GBK" w:cs="方正楷体_GBK"/>
          <w:i/>
          <w:iCs/>
          <w:color w:val="000000"/>
          <w:sz w:val="32"/>
          <w:szCs w:val="32"/>
          <w:highlight w:val="none"/>
        </w:rPr>
        <w:t>Angelica sinensis</w:t>
      </w:r>
      <w:r>
        <w:rPr>
          <w:rFonts w:hint="eastAsia" w:ascii="宋体" w:hAnsi="宋体" w:eastAsia="方正楷体_GBK" w:cs="方正楷体_GBK"/>
          <w:color w:val="000000"/>
          <w:sz w:val="32"/>
          <w:szCs w:val="32"/>
          <w:highlight w:val="none"/>
        </w:rPr>
        <w:t xml:space="preserve"> (Oliv.) Diels</w:t>
      </w:r>
    </w:p>
    <w:p w14:paraId="11E5FD05">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24D6F0E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普通当归、‘云归1号’、‘岷归’（引进改良）等。</w:t>
      </w:r>
    </w:p>
    <w:p w14:paraId="48C6D7A0">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75470B8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普通当归：喜凉爽湿润、耐寒，对云南疏松透气的砂壤土适应性强，根肉质粗壮，药用成分阿魏酸含量高，是常用中药材。适宜海拔2000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13</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区域，迪庆、丽江、昭通等高海拔地区生长良好，在云南中药材种植中占有重要地位。</w:t>
      </w:r>
    </w:p>
    <w:p w14:paraId="2969BB5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‘云归1号’：适应高原昼夜温差大的气候，根部产量提高35%，阿魏酸含量达0.12%，抗早期抽薹能力强（抽薹率低于8%）。适宜海拔2200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12</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950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区域，香格里拉、德钦、会泽等地种植。</w:t>
      </w:r>
    </w:p>
    <w:p w14:paraId="5EFD58F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‘岷归’（改良型）：引进甘肃岷县优良品种，经云南驯化后，适应性增强，根部表皮光滑、颜色红润，商品性好，耐储存。适宜海拔1800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16</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区域，大理剑川、楚雄大姚、曲靖宣威等地种植。</w:t>
      </w:r>
    </w:p>
    <w:p w14:paraId="7D3EFA29">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52C881F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播种：采用种子育苗移栽，育苗时间为6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7月，移栽时间为次年3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4月；育苗播种量3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/亩，移栽密度为8000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10000株/亩，按行距30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、株距20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种植，覆土3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w:t>
      </w:r>
    </w:p>
    <w:p w14:paraId="0ABDDCD7">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水肥：施足底肥，以腐熟农家肥1500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/亩+过磷酸钙40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/亩+氯化钾10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/亩混合施用；苗期追施尿素5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/亩，根部膨大期追施磷钾肥25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/亩；耐旱性中等，土壤含水量保持在20%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25%，雨季及时排水，防止烂根。</w:t>
      </w:r>
    </w:p>
    <w:p w14:paraId="1582902D">
      <w:pPr>
        <w:spacing w:line="560" w:lineRule="exact"/>
        <w:ind w:firstLine="640" w:firstLineChars="200"/>
        <w:jc w:val="both"/>
        <w:rPr>
          <w:rFonts w:hint="eastAsia" w:ascii="宋体" w:hAnsi="宋体" w:eastAsia="方正仿宋_GBK" w:cs="方正仿宋_GBK"/>
          <w:color w:val="000000"/>
          <w:sz w:val="32"/>
          <w:szCs w:val="32"/>
          <w:highlight w:val="none"/>
        </w:rPr>
      </w:pPr>
      <w:r>
        <w:rPr>
          <w:rFonts w:hint="eastAsia" w:ascii="宋体" w:hAnsi="宋体" w:eastAsia="方正仿宋_GBK" w:cs="方正仿宋_GBK"/>
          <w:color w:val="auto"/>
          <w:sz w:val="32"/>
          <w:szCs w:val="32"/>
          <w:highlight w:val="none"/>
          <w:lang w:eastAsia="zh-CN"/>
        </w:rPr>
        <w:t>管理</w:t>
      </w:r>
      <w:r>
        <w:rPr>
          <w:rFonts w:hint="eastAsia" w:ascii="宋体" w:hAnsi="宋体" w:eastAsia="方正仿宋_GBK" w:cs="方正仿宋_GBK"/>
          <w:color w:val="auto"/>
          <w:sz w:val="32"/>
          <w:szCs w:val="32"/>
          <w:highlight w:val="none"/>
        </w:rPr>
        <w:t>：苗高10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时进行第一次中耕除草，结合除草进行培土；及时摘除花薹，减少养分消耗；病虫害主要有根腐病和蚜虫，根腐病用多菌灵防治，蚜虫喷施吡蚜酮。</w:t>
      </w:r>
    </w:p>
    <w:p w14:paraId="5BE258DE">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（六）黄精</w:t>
      </w:r>
      <w:r>
        <w:rPr>
          <w:rFonts w:hint="eastAsia" w:ascii="宋体" w:hAnsi="宋体" w:eastAsia="方正楷体_GBK" w:cs="方正楷体_GBK"/>
          <w:i/>
          <w:iCs/>
          <w:color w:val="000000"/>
          <w:sz w:val="32"/>
          <w:szCs w:val="32"/>
          <w:highlight w:val="none"/>
        </w:rPr>
        <w:t>Polygonatum sibiricum</w:t>
      </w:r>
      <w:r>
        <w:rPr>
          <w:rFonts w:hint="eastAsia" w:ascii="宋体" w:hAnsi="宋体" w:eastAsia="方正楷体_GBK" w:cs="方正楷体_GBK"/>
          <w:color w:val="000000"/>
          <w:sz w:val="32"/>
          <w:szCs w:val="32"/>
          <w:highlight w:val="none"/>
        </w:rPr>
        <w:t xml:space="preserve"> Redouté</w:t>
      </w:r>
    </w:p>
    <w:p w14:paraId="34DEBAC1">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5CE2A5B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滇黄精、‘云黄精1号’、‘多花黄精’等。</w:t>
      </w:r>
    </w:p>
    <w:p w14:paraId="51DB497D">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43DF3EA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滇黄精：喜阴湿、耐寒，对云南酸性腐殖质土适应性强，根茎肉质肥厚，口感甘甜，药用与食用价值兼具。适宜海拔1200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、年降水量900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区域，普洱、临沧、大理等滇西滇南地区生长良好，是药食同源的热门品种。</w:t>
      </w:r>
    </w:p>
    <w:p w14:paraId="760C207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‘云黄精1号’：云南选育品种，根茎产量较普通滇黄精提高50%，多糖含量达15%，抗叶斑病和根腐病能力强，生长期缩短至3年。适宜海拔1500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、年均温9</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、年降水量850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1400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区域，文山、楚雄、丽江等地规模化种植，可采用林下仿野生种植，降低生产成本。</w:t>
      </w:r>
    </w:p>
    <w:p w14:paraId="08447F6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‘多花黄精’：引进品种，开花多、结果量大，根茎分枝多，繁殖能力强，口感优于鸡头黄精，更适合作为食材开发。适宜海拔1000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区域，昆明周边、玉溪、红河等中低海拔地区种植。</w:t>
      </w:r>
    </w:p>
    <w:p w14:paraId="424B02A5">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7620DFD1">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播种：采用根茎繁殖或种子繁殖，根茎繁殖最佳时间为10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11月，种子繁殖为3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4月；根茎繁殖按行距30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、株距25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种植，播种量150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/亩，覆土5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；种子播种量2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/亩，条播行距25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，覆土1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w:t>
      </w:r>
    </w:p>
    <w:p w14:paraId="4303E55C">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水肥：施足底肥，以腐熟松针土1500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/亩+腐熟有机肥1000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/亩+磷酸二氢钾20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/亩混合施用；生长期每月追施一次稀薄有机肥，保持土壤湿润，空气湿度65%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75%，干旱时喷水保湿。</w:t>
      </w:r>
    </w:p>
    <w:p w14:paraId="4A9B31C6">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eastAsia="zh-CN"/>
        </w:rPr>
        <w:t>管理</w:t>
      </w:r>
      <w:r>
        <w:rPr>
          <w:rFonts w:hint="eastAsia" w:ascii="宋体" w:hAnsi="宋体" w:eastAsia="方正仿宋_GBK" w:cs="方正仿宋_GBK"/>
          <w:color w:val="auto"/>
          <w:sz w:val="32"/>
          <w:szCs w:val="32"/>
          <w:highlight w:val="none"/>
        </w:rPr>
        <w:t>：搭建遮阳棚（遮阴率70%）或选择疏林地种植，避免阳光直射；每年中耕除草2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3次，结合除草进行培土；病虫害较少，主要防治蛴螬和蚜虫，蛴螬用辛硫磷毒饵诱杀，蚜虫用噻虫嗪防治。</w:t>
      </w:r>
    </w:p>
    <w:p w14:paraId="08803135">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（七）菊苣</w:t>
      </w:r>
      <w:r>
        <w:rPr>
          <w:rFonts w:hint="eastAsia" w:ascii="宋体" w:hAnsi="宋体" w:eastAsia="方正楷体_GBK" w:cs="方正楷体_GBK"/>
          <w:i/>
          <w:iCs/>
          <w:color w:val="000000"/>
          <w:sz w:val="32"/>
          <w:szCs w:val="32"/>
          <w:highlight w:val="none"/>
        </w:rPr>
        <w:t>Cichorium intybus</w:t>
      </w:r>
      <w:r>
        <w:rPr>
          <w:rFonts w:hint="eastAsia" w:ascii="宋体" w:hAnsi="宋体" w:eastAsia="方正楷体_GBK" w:cs="方正楷体_GBK"/>
          <w:color w:val="000000"/>
          <w:sz w:val="32"/>
          <w:szCs w:val="32"/>
          <w:highlight w:val="none"/>
        </w:rPr>
        <w:t xml:space="preserve"> L.</w:t>
      </w:r>
    </w:p>
    <w:p w14:paraId="639B27BD">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774AE93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eastAsia="zh-CN"/>
        </w:rPr>
        <w:t>普通</w:t>
      </w:r>
      <w:r>
        <w:rPr>
          <w:rFonts w:hint="eastAsia" w:ascii="宋体" w:hAnsi="宋体" w:eastAsia="方正仿宋_GBK" w:cs="方正仿宋_GBK"/>
          <w:color w:val="auto"/>
          <w:sz w:val="32"/>
          <w:szCs w:val="32"/>
          <w:highlight w:val="none"/>
        </w:rPr>
        <w:t>菊苣</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‘普那’菊苣、‘滇菊苣1号’等。</w:t>
      </w:r>
    </w:p>
    <w:p w14:paraId="1F6DD497">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24D95CB7">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普通菊苣：喜温暖湿润、耐贫瘠，对云南各类土壤适应性强，生长速度快，再生能力强，是优质饲用植物和药用植物。适宜海拔600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1200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区域，云南各地均能种植。</w:t>
      </w:r>
    </w:p>
    <w:p w14:paraId="36144C6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‘普那’菊苣：高产品种，叶片宽大、产量高，年刈割次数达5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6次，鲜草产量可达10吨/亩，粗蛋白含量达18%，适口性好，牛羊采食率达100%。适宜海拔800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24</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区域，昆明、玉溪、曲靖等滇中地区规模化种植。</w:t>
      </w:r>
    </w:p>
    <w:p w14:paraId="04444FC4">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‘滇菊苣1号’：药用饲用兼用品种，根部产量提高30%，药用成分菊苣酸含量达1.0%，耐干热能力强，在干热河谷地区生长稳定。适宜海拔700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2100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、年均温17</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26</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区域，楚雄元谋、丽江华坪、红河元阳等干热地区种植，兼顾养殖和药用效益。</w:t>
      </w:r>
    </w:p>
    <w:p w14:paraId="74CC4A95">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1348465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播种：采用种子直播，春播3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4月，秋播9</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10月；播种量0.3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0.5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/亩，条播行距30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，覆土1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，播后镇压。</w:t>
      </w:r>
    </w:p>
    <w:p w14:paraId="5F8B97C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水肥：播前施腐熟农家肥1000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/亩+过磷酸钙20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/亩作基肥，苗期追施尿素5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/亩，刈割后追施磷钾肥10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/亩；耐旱性较强，土壤含水量保持在18%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22%即可，刈割后及时浇水促进再生。</w:t>
      </w:r>
    </w:p>
    <w:p w14:paraId="469AA59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eastAsia="zh-CN"/>
        </w:rPr>
        <w:t>管理</w:t>
      </w:r>
      <w:r>
        <w:rPr>
          <w:rFonts w:hint="eastAsia" w:ascii="宋体" w:hAnsi="宋体" w:eastAsia="方正仿宋_GBK" w:cs="方正仿宋_GBK"/>
          <w:color w:val="auto"/>
          <w:sz w:val="32"/>
          <w:szCs w:val="32"/>
          <w:highlight w:val="none"/>
        </w:rPr>
        <w:t>：苗高10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时进行间苗，保持株距15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；苗期及时除草，成株后竞争力强，可抑制杂草生长；作为饲用时，在株高40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时刈割，留茬高度5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；作为药用种植时，生长期2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3年，秋季收获根部。</w:t>
      </w:r>
    </w:p>
    <w:p w14:paraId="6982B780">
      <w:pPr>
        <w:spacing w:before="0" w:after="0" w:line="560" w:lineRule="exact"/>
        <w:ind w:firstLine="640" w:firstLineChars="200"/>
        <w:jc w:val="both"/>
        <w:outlineLvl w:val="0"/>
        <w:rPr>
          <w:rFonts w:hint="eastAsia" w:ascii="宋体" w:hAnsi="宋体" w:eastAsia="方正楷体_GBK" w:cs="方正楷体_GBK"/>
          <w:bCs/>
          <w:color w:val="auto"/>
          <w:sz w:val="32"/>
          <w:szCs w:val="32"/>
          <w:highlight w:val="none"/>
        </w:rPr>
      </w:pPr>
      <w:r>
        <w:rPr>
          <w:rFonts w:hint="eastAsia" w:ascii="宋体" w:hAnsi="宋体" w:eastAsia="方正楷体_GBK" w:cs="方正楷体_GBK"/>
          <w:b w:val="0"/>
          <w:bCs/>
          <w:color w:val="auto"/>
          <w:sz w:val="32"/>
          <w:szCs w:val="32"/>
          <w:highlight w:val="none"/>
        </w:rPr>
        <w:t>（</w:t>
      </w:r>
      <w:r>
        <w:rPr>
          <w:rFonts w:hint="eastAsia" w:ascii="宋体" w:hAnsi="宋体" w:eastAsia="方正楷体_GBK" w:cs="方正楷体_GBK"/>
          <w:b w:val="0"/>
          <w:bCs/>
          <w:color w:val="auto"/>
          <w:sz w:val="32"/>
          <w:szCs w:val="32"/>
          <w:highlight w:val="none"/>
          <w:lang w:val="en-US" w:eastAsia="zh-CN"/>
        </w:rPr>
        <w:t>八</w:t>
      </w:r>
      <w:r>
        <w:rPr>
          <w:rFonts w:hint="eastAsia" w:ascii="宋体" w:hAnsi="宋体" w:eastAsia="方正楷体_GBK" w:cs="方正楷体_GBK"/>
          <w:b w:val="0"/>
          <w:bCs/>
          <w:color w:val="auto"/>
          <w:sz w:val="32"/>
          <w:szCs w:val="32"/>
          <w:highlight w:val="none"/>
        </w:rPr>
        <w:t>）龙胆</w:t>
      </w:r>
      <w:r>
        <w:rPr>
          <w:rFonts w:hint="eastAsia" w:ascii="宋体" w:hAnsi="宋体" w:eastAsia="方正楷体_GBK" w:cs="方正楷体_GBK"/>
          <w:b w:val="0"/>
          <w:bCs/>
          <w:i/>
          <w:iCs/>
          <w:color w:val="auto"/>
          <w:sz w:val="32"/>
          <w:szCs w:val="32"/>
          <w:highlight w:val="none"/>
        </w:rPr>
        <w:t xml:space="preserve">Gentiana scabra </w:t>
      </w:r>
      <w:r>
        <w:rPr>
          <w:rFonts w:hint="eastAsia" w:ascii="宋体" w:hAnsi="宋体" w:eastAsia="方正楷体_GBK" w:cs="方正楷体_GBK"/>
          <w:b w:val="0"/>
          <w:bCs/>
          <w:color w:val="auto"/>
          <w:sz w:val="32"/>
          <w:szCs w:val="32"/>
          <w:highlight w:val="none"/>
        </w:rPr>
        <w:t>Bunge</w:t>
      </w:r>
    </w:p>
    <w:p w14:paraId="0D4E9CEA">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1213D94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‘滇龙胆’、‘云龙胆1号’</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‘条叶龙胆’等。</w:t>
      </w:r>
    </w:p>
    <w:p w14:paraId="75ACBE07">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132679C5">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滇龙胆：云南道地药材，喜高寒凉爽、耐干旱，对云南高海拔地区的砂质壤土适应性强，根细长、药用成分龙胆苦苷含量高（达3%以上）。适宜海拔2000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3400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14</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1200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区域，迪庆、丽江、大理等高海拔地区生长良好。</w:t>
      </w:r>
    </w:p>
    <w:p w14:paraId="0774A6B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‘云龙胆1号’：云南选育品种，根部产量较普通滇龙胆提高45%，龙胆苦苷含量达4.2%，抗龙胆斑枯病能力强，发病率低于6%。适宜海拔2200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3600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13</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区域，香格里拉、德钦、会泽等地种植，生长期3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4年。</w:t>
      </w:r>
    </w:p>
    <w:p w14:paraId="4420FE8E">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‘条叶龙胆’：引进品种，适应性广，在中高海拔地区生长稳定，根部较粗，加工方便，药用成分稳定。适宜海拔1800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、年均温9</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17</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1300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区域，楚雄大姚、曲靖宣威、昭通镇雄等地种植。</w:t>
      </w:r>
    </w:p>
    <w:p w14:paraId="05500A86">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2FCB043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播种：采用种子育苗移栽，育苗时间为4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5月，移栽时间为次年3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4月；育苗播种量0.2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0.3</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/亩，培育1年后移栽，移栽密度为1.2万株/亩，按行距20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、株距15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种植，覆土2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w:t>
      </w:r>
    </w:p>
    <w:p w14:paraId="4097146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水肥：施足底肥，以腐熟农家肥1200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/亩+过磷酸钙30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/亩+硫酸钾5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/亩混合施用；苗期追施尿素3</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/亩，根部膨大期追施磷钾肥15</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/亩；耐旱性强，土壤含水量保持在15%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20%，避免积水。</w:t>
      </w:r>
    </w:p>
    <w:p w14:paraId="534A468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eastAsia="zh-CN"/>
        </w:rPr>
        <w:t>管理</w:t>
      </w:r>
      <w:r>
        <w:rPr>
          <w:rFonts w:hint="eastAsia" w:ascii="宋体" w:hAnsi="宋体" w:eastAsia="方正仿宋_GBK" w:cs="方正仿宋_GBK"/>
          <w:color w:val="auto"/>
          <w:sz w:val="32"/>
          <w:szCs w:val="32"/>
          <w:highlight w:val="none"/>
        </w:rPr>
        <w:t>：搭建遮阳棚（遮阴率50%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60%），避免强光直射；每年中耕除草2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3次，结合除草进行培土；病虫害主要有斑枯病和蚜虫，斑枯病用代森锌防治，蚜虫用吡虫啉喷雾防治。</w:t>
      </w:r>
    </w:p>
    <w:p w14:paraId="23A921FC">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（九）芦荟</w:t>
      </w:r>
      <w:r>
        <w:rPr>
          <w:rFonts w:hint="eastAsia" w:ascii="宋体" w:hAnsi="宋体" w:eastAsia="方正楷体_GBK" w:cs="方正楷体_GBK"/>
          <w:i/>
          <w:iCs/>
          <w:color w:val="000000"/>
          <w:sz w:val="32"/>
          <w:szCs w:val="32"/>
          <w:highlight w:val="none"/>
        </w:rPr>
        <w:t>Aloe vera</w:t>
      </w:r>
      <w:r>
        <w:rPr>
          <w:rFonts w:hint="eastAsia" w:ascii="宋体" w:hAnsi="宋体" w:eastAsia="方正楷体_GBK" w:cs="方正楷体_GBK"/>
          <w:color w:val="000000"/>
          <w:sz w:val="32"/>
          <w:szCs w:val="32"/>
          <w:highlight w:val="none"/>
        </w:rPr>
        <w:t xml:space="preserve"> (L.) Burm. f.</w:t>
      </w:r>
    </w:p>
    <w:p w14:paraId="0815B6D6">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666F2BE2">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‘库拉索芦荟’、‘滇芦荟1号’</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‘中华芦荟’等。</w:t>
      </w:r>
    </w:p>
    <w:p w14:paraId="18D83432">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137D4C09">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库拉索芦荟：喜温暖干燥、耐强光，对云南干热河谷及滇南地区的砂质壤土适应性强，药用价值高。适宜海拔600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1600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、年均温18</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28</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900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区域，楚雄元谋、丽江华坪、西双版纳等干热湿热地区生长良好，是芦荟制品的主要原料。</w:t>
      </w:r>
    </w:p>
    <w:p w14:paraId="12A59966">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‘滇芦荟1号’：云南选育品种，针对性适应高原强光气候，抗叶斑病能力强，在高温高湿环境下生长稳定。适宜海拔700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、年均温17</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27</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、年降水量550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1000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区域，普洱、临沧、德宏等滇南地区种植。</w:t>
      </w:r>
    </w:p>
    <w:p w14:paraId="5CC534BC">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‘中华芦荟’：适应性广，耐寒性较库拉索芦荟强，叶片较小，可作为食用芦荟开发。适宜海拔800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、年均温16</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25</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、年降水量600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区域，昆明、玉溪、大理等滇中地区广泛种植，兼具食用和观赏价值。</w:t>
      </w:r>
    </w:p>
    <w:p w14:paraId="1997FE3D">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6ED2807E">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播种：采用分株繁殖或扦插繁殖，最佳时间为3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5月；分株繁殖选择生长健壮的母株，分离侧芽移栽，密度为3000株/亩；扦插繁殖选取15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长的健康叶片，晾干伤口后扦插，行距40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、株距30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w:t>
      </w:r>
    </w:p>
    <w:p w14:paraId="09543BC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水肥：耐贫瘠，播前施腐熟有机肥500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/亩+过磷酸钙20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/亩作基肥；生长期无需频繁追肥，每年施1</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2次磷钾肥即可；耐旱性极强，土壤干透后再浇水，忌积水，雨季及时排水防烂根。</w:t>
      </w:r>
    </w:p>
    <w:p w14:paraId="380EE39F">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eastAsia="zh-CN"/>
        </w:rPr>
        <w:t>管理</w:t>
      </w:r>
      <w:r>
        <w:rPr>
          <w:rFonts w:hint="eastAsia" w:ascii="宋体" w:hAnsi="宋体" w:eastAsia="方正仿宋_GBK" w:cs="方正仿宋_GBK"/>
          <w:color w:val="auto"/>
          <w:sz w:val="32"/>
          <w:szCs w:val="32"/>
          <w:highlight w:val="none"/>
        </w:rPr>
        <w:t>：选择光照充足的地块种植，保证每天6小时以上光照；中耕除草每年2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3次，避免损伤根系；病虫害主要有根腐病和红蜘蛛，根腐病通过控制浇水防治，红蜘蛛用阿维菌素喷雾灭杀。</w:t>
      </w:r>
    </w:p>
    <w:p w14:paraId="17058C49">
      <w:pPr>
        <w:spacing w:line="560" w:lineRule="exact"/>
        <w:ind w:firstLine="640" w:firstLineChars="200"/>
        <w:rPr>
          <w:rFonts w:hint="eastAsia" w:ascii="宋体" w:hAnsi="宋体" w:eastAsia="方正楷体_GBK" w:cs="方正楷体_GBK"/>
          <w:color w:val="000000"/>
          <w:sz w:val="32"/>
          <w:szCs w:val="32"/>
          <w:highlight w:val="none"/>
        </w:rPr>
      </w:pPr>
      <w:r>
        <w:rPr>
          <w:rFonts w:hint="eastAsia" w:ascii="宋体" w:hAnsi="宋体" w:eastAsia="方正楷体_GBK" w:cs="方正楷体_GBK"/>
          <w:color w:val="000000"/>
          <w:sz w:val="32"/>
          <w:szCs w:val="32"/>
          <w:highlight w:val="none"/>
        </w:rPr>
        <w:t>（十）三七</w:t>
      </w:r>
      <w:r>
        <w:rPr>
          <w:rFonts w:hint="eastAsia" w:ascii="宋体" w:hAnsi="宋体" w:eastAsia="方正楷体_GBK" w:cs="方正楷体_GBK"/>
          <w:i/>
          <w:iCs/>
          <w:color w:val="000000"/>
          <w:sz w:val="32"/>
          <w:szCs w:val="32"/>
          <w:highlight w:val="none"/>
        </w:rPr>
        <w:t>Panax notoginseng</w:t>
      </w:r>
      <w:r>
        <w:rPr>
          <w:rFonts w:hint="eastAsia" w:ascii="宋体" w:hAnsi="宋体" w:eastAsia="方正楷体_GBK" w:cs="方正楷体_GBK"/>
          <w:color w:val="000000"/>
          <w:sz w:val="32"/>
          <w:szCs w:val="32"/>
          <w:highlight w:val="none"/>
        </w:rPr>
        <w:t xml:space="preserve"> (Burkill) F. H. Chen ex C. H. Chow</w:t>
      </w:r>
    </w:p>
    <w:p w14:paraId="510C54DA">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1.适滇品种</w:t>
      </w:r>
    </w:p>
    <w:p w14:paraId="1C59D24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‘滇三七’（文山三七）、‘三七1号’‘无量山三七’等。</w:t>
      </w:r>
    </w:p>
    <w:p w14:paraId="4779A457">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rPr>
      </w:pPr>
      <w:r>
        <w:rPr>
          <w:rFonts w:hint="eastAsia" w:ascii="宋体" w:hAnsi="宋体" w:eastAsia="方正仿宋_GBK" w:cs="方正仿宋_GBK"/>
          <w:b/>
          <w:color w:val="auto"/>
          <w:sz w:val="32"/>
          <w:szCs w:val="32"/>
          <w:highlight w:val="none"/>
        </w:rPr>
        <w:t>2.品种突出特性</w:t>
      </w:r>
    </w:p>
    <w:p w14:paraId="7AE1570A">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滇三七（文山三七）：云南道地药材，喜温暖阴湿、忌强光，对云南文山地区的红壤和腐殖质土适应性极佳，块根饱满、药用成分三七皂苷含量高，是著名的活血化瘀中药材。适宜海拔1200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、年均温15</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、年降水量1100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1500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区域，文山州为核心产区，红河、玉溪等周边地区也有种植。</w:t>
      </w:r>
    </w:p>
    <w:p w14:paraId="0E5EB287">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‘三七1号’：文山选育的高产品种，块根产量提高35%，抗根腐病和黑斑病能力显著增强，出苗率达95%以上。适宜海拔1300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1900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、年均温14</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19</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、年降水量1000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1400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区域，文山砚山、马关、西畴等地规模化种植，生长期3年，是三七主产区的主推品种。</w:t>
      </w:r>
    </w:p>
    <w:p w14:paraId="558E4918">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‘无量山三七’：云南无量山地区驯化品种，适应性强，在高湿度环境下生长稳定。适宜海拔1400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2000</w:t>
      </w:r>
      <w:r>
        <w:rPr>
          <w:rFonts w:hint="default" w:ascii="宋体" w:hAnsi="宋体" w:eastAsia="方正仿宋_GBK" w:cs="方正仿宋_GBK"/>
          <w:color w:val="auto"/>
          <w:sz w:val="32"/>
          <w:szCs w:val="32"/>
          <w:highlight w:val="none"/>
          <w:lang w:val="en"/>
        </w:rPr>
        <w:t>米</w:t>
      </w:r>
      <w:r>
        <w:rPr>
          <w:rFonts w:hint="eastAsia" w:ascii="宋体" w:hAnsi="宋体" w:eastAsia="方正仿宋_GBK" w:cs="方正仿宋_GBK"/>
          <w:color w:val="auto"/>
          <w:sz w:val="32"/>
          <w:szCs w:val="32"/>
          <w:highlight w:val="none"/>
        </w:rPr>
        <w:t>、年均温13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18</w:t>
      </w:r>
      <w:r>
        <w:rPr>
          <w:rFonts w:hint="default" w:ascii="宋体" w:hAnsi="宋体" w:eastAsia="方正仿宋_GBK" w:cs="方正仿宋_GBK"/>
          <w:color w:val="auto"/>
          <w:sz w:val="32"/>
          <w:szCs w:val="32"/>
          <w:highlight w:val="none"/>
          <w:lang w:val="en"/>
        </w:rPr>
        <w:t>摄氏度</w:t>
      </w:r>
      <w:r>
        <w:rPr>
          <w:rFonts w:hint="eastAsia" w:ascii="宋体" w:hAnsi="宋体" w:eastAsia="方正仿宋_GBK" w:cs="方正仿宋_GBK"/>
          <w:color w:val="auto"/>
          <w:sz w:val="32"/>
          <w:szCs w:val="32"/>
          <w:highlight w:val="none"/>
        </w:rPr>
        <w:t>、年降水量1200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1600</w:t>
      </w:r>
      <w:r>
        <w:rPr>
          <w:rFonts w:hint="default" w:ascii="宋体" w:hAnsi="宋体" w:eastAsia="方正仿宋_GBK" w:cs="方正仿宋_GBK"/>
          <w:color w:val="auto"/>
          <w:sz w:val="32"/>
          <w:szCs w:val="32"/>
          <w:highlight w:val="none"/>
          <w:lang w:val="en"/>
        </w:rPr>
        <w:t>毫米</w:t>
      </w:r>
      <w:r>
        <w:rPr>
          <w:rFonts w:hint="eastAsia" w:ascii="宋体" w:hAnsi="宋体" w:eastAsia="方正仿宋_GBK" w:cs="方正仿宋_GBK"/>
          <w:color w:val="auto"/>
          <w:sz w:val="32"/>
          <w:szCs w:val="32"/>
          <w:highlight w:val="none"/>
        </w:rPr>
        <w:t>区域，普洱景东、大理南涧等地种植。</w:t>
      </w:r>
    </w:p>
    <w:p w14:paraId="6906184C">
      <w:pPr>
        <w:spacing w:before="0" w:after="0" w:line="560" w:lineRule="exact"/>
        <w:ind w:firstLine="643" w:firstLineChars="200"/>
        <w:jc w:val="both"/>
        <w:outlineLvl w:val="1"/>
        <w:rPr>
          <w:rFonts w:hint="eastAsia" w:ascii="宋体" w:hAnsi="宋体" w:eastAsia="方正仿宋_GBK" w:cs="方正仿宋_GBK"/>
          <w:color w:val="auto"/>
          <w:sz w:val="32"/>
          <w:szCs w:val="32"/>
          <w:highlight w:val="none"/>
          <w:lang w:eastAsia="zh-CN"/>
        </w:rPr>
      </w:pPr>
      <w:r>
        <w:rPr>
          <w:rFonts w:hint="eastAsia" w:ascii="宋体" w:hAnsi="宋体" w:eastAsia="方正仿宋_GBK" w:cs="方正仿宋_GBK"/>
          <w:b/>
          <w:color w:val="auto"/>
          <w:sz w:val="32"/>
          <w:szCs w:val="32"/>
          <w:highlight w:val="none"/>
        </w:rPr>
        <w:t>3.播种及</w:t>
      </w:r>
      <w:r>
        <w:rPr>
          <w:rFonts w:hint="eastAsia" w:ascii="宋体" w:hAnsi="宋体" w:eastAsia="方正仿宋_GBK" w:cs="方正仿宋_GBK"/>
          <w:b/>
          <w:color w:val="auto"/>
          <w:sz w:val="32"/>
          <w:szCs w:val="32"/>
          <w:highlight w:val="none"/>
          <w:lang w:eastAsia="zh-CN"/>
        </w:rPr>
        <w:t>管理</w:t>
      </w:r>
    </w:p>
    <w:p w14:paraId="7AE2DC6E">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播种：采用种子育苗移栽，育苗时间为</w:t>
      </w:r>
      <w:r>
        <w:rPr>
          <w:rFonts w:hint="eastAsia" w:ascii="宋体" w:hAnsi="宋体" w:eastAsia="方正仿宋_GBK" w:cs="方正仿宋_GBK"/>
          <w:color w:val="auto"/>
          <w:sz w:val="32"/>
          <w:szCs w:val="32"/>
          <w:highlight w:val="none"/>
          <w:lang w:val="en-US" w:eastAsia="zh-CN"/>
        </w:rPr>
        <w:t>第一年</w:t>
      </w:r>
      <w:r>
        <w:rPr>
          <w:rFonts w:hint="eastAsia" w:ascii="宋体" w:hAnsi="宋体" w:eastAsia="方正仿宋_GBK" w:cs="方正仿宋_GBK"/>
          <w:color w:val="auto"/>
          <w:sz w:val="32"/>
          <w:szCs w:val="32"/>
          <w:highlight w:val="none"/>
        </w:rPr>
        <w:t>10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11月，移栽时间为次年12月至第三年1月；育苗播种量3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/亩，培育1年后移栽，移栽密度为1.5万株/亩，按行距20</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、株距15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种植，覆土3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5</w:t>
      </w:r>
      <w:r>
        <w:rPr>
          <w:rFonts w:hint="default" w:ascii="宋体" w:hAnsi="宋体" w:eastAsia="方正仿宋_GBK" w:cs="方正仿宋_GBK"/>
          <w:color w:val="auto"/>
          <w:sz w:val="32"/>
          <w:szCs w:val="32"/>
          <w:highlight w:val="none"/>
          <w:lang w:val="en"/>
        </w:rPr>
        <w:t>厘米</w:t>
      </w:r>
      <w:r>
        <w:rPr>
          <w:rFonts w:hint="eastAsia" w:ascii="宋体" w:hAnsi="宋体" w:eastAsia="方正仿宋_GBK" w:cs="方正仿宋_GBK"/>
          <w:color w:val="auto"/>
          <w:sz w:val="32"/>
          <w:szCs w:val="32"/>
          <w:highlight w:val="none"/>
        </w:rPr>
        <w:t>，覆盖松针或稻草保湿。</w:t>
      </w:r>
    </w:p>
    <w:p w14:paraId="2A133F60">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rPr>
        <w:t>水肥：施足底肥，以腐熟农家肥1500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/亩+三七专用肥50</w:t>
      </w:r>
      <w:r>
        <w:rPr>
          <w:rFonts w:hint="default" w:ascii="宋体" w:hAnsi="宋体" w:eastAsia="方正仿宋_GBK" w:cs="方正仿宋_GBK"/>
          <w:color w:val="auto"/>
          <w:sz w:val="32"/>
          <w:szCs w:val="32"/>
          <w:highlight w:val="none"/>
          <w:lang w:val="en" w:eastAsia="zh-CN"/>
        </w:rPr>
        <w:t>千克</w:t>
      </w:r>
      <w:r>
        <w:rPr>
          <w:rFonts w:hint="eastAsia" w:ascii="宋体" w:hAnsi="宋体" w:eastAsia="方正仿宋_GBK" w:cs="方正仿宋_GBK"/>
          <w:color w:val="auto"/>
          <w:sz w:val="32"/>
          <w:szCs w:val="32"/>
          <w:highlight w:val="none"/>
        </w:rPr>
        <w:t>/亩混合施用；生长期追施2</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3次三七专用肥，分别在苗期、蕾期和块根膨大期；保持土壤湿润，空气湿度70%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80%，采用滴灌方式浇水，避免大水漫灌。</w:t>
      </w:r>
    </w:p>
    <w:p w14:paraId="6F8DBBFD">
      <w:pPr>
        <w:spacing w:before="0" w:after="0" w:line="560" w:lineRule="exact"/>
        <w:ind w:firstLine="640" w:firstLineChars="200"/>
        <w:jc w:val="both"/>
        <w:rPr>
          <w:rFonts w:hint="eastAsia" w:ascii="宋体" w:hAnsi="宋体" w:eastAsia="方正仿宋_GBK" w:cs="方正仿宋_GBK"/>
          <w:color w:val="auto"/>
          <w:sz w:val="32"/>
          <w:szCs w:val="32"/>
          <w:highlight w:val="none"/>
        </w:rPr>
      </w:pPr>
      <w:r>
        <w:rPr>
          <w:rFonts w:hint="eastAsia" w:ascii="宋体" w:hAnsi="宋体" w:eastAsia="方正仿宋_GBK" w:cs="方正仿宋_GBK"/>
          <w:color w:val="auto"/>
          <w:sz w:val="32"/>
          <w:szCs w:val="32"/>
          <w:highlight w:val="none"/>
          <w:lang w:eastAsia="zh-CN"/>
        </w:rPr>
        <w:t>管理</w:t>
      </w:r>
      <w:r>
        <w:rPr>
          <w:rFonts w:hint="eastAsia" w:ascii="宋体" w:hAnsi="宋体" w:eastAsia="方正仿宋_GBK" w:cs="方正仿宋_GBK"/>
          <w:color w:val="auto"/>
          <w:sz w:val="32"/>
          <w:szCs w:val="32"/>
          <w:highlight w:val="none"/>
        </w:rPr>
        <w:t>：搭建遮阳棚，遮阴率70%</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80%，根据生长期调整遮阴度（苗期高遮阴，后期适当降低）；每年中耕除草3</w:t>
      </w:r>
      <w:r>
        <w:rPr>
          <w:rFonts w:hint="eastAsia" w:ascii="宋体" w:hAnsi="宋体" w:eastAsia="方正仿宋_GBK" w:cs="方正仿宋_GBK"/>
          <w:color w:val="auto"/>
          <w:sz w:val="32"/>
          <w:szCs w:val="32"/>
          <w:highlight w:val="none"/>
          <w:lang w:eastAsia="zh-CN"/>
        </w:rPr>
        <w:t>—</w:t>
      </w:r>
      <w:r>
        <w:rPr>
          <w:rFonts w:hint="eastAsia" w:ascii="宋体" w:hAnsi="宋体" w:eastAsia="方正仿宋_GBK" w:cs="方正仿宋_GBK"/>
          <w:color w:val="auto"/>
          <w:sz w:val="32"/>
          <w:szCs w:val="32"/>
          <w:highlight w:val="none"/>
        </w:rPr>
        <w:t>4次，结合除草进行培土；及时摘除花薹（留种田除外），减少养分消耗；病虫害以根腐病、黑斑病和蚜虫为主，根腐病用恶霉灵灌根，黑斑病喷施咪鲜胺，蚜虫用噻虫嗪防治。</w:t>
      </w:r>
    </w:p>
    <w:p w14:paraId="7F4AAC35">
      <w:pPr>
        <w:spacing w:line="560" w:lineRule="exact"/>
        <w:ind w:firstLine="420" w:firstLineChars="200"/>
        <w:rPr>
          <w:rFonts w:ascii="宋体" w:hAnsi="宋体"/>
          <w:color w:val="auto"/>
          <w:highlight w:val="none"/>
        </w:rPr>
      </w:pPr>
    </w:p>
    <w:p w14:paraId="79BDFB75">
      <w:pPr>
        <w:rPr>
          <w:rFonts w:ascii="宋体" w:hAnsi="宋体"/>
          <w:color w:val="auto"/>
        </w:rPr>
      </w:pPr>
    </w:p>
    <w:p w14:paraId="25F885AD"/>
    <w:p w14:paraId="00EE471F"/>
    <w:p w14:paraId="7DF2A7AF"/>
    <w:p w14:paraId="3462DD7C"/>
    <w:p w14:paraId="2834E209">
      <w:pPr>
        <w:rPr>
          <w:rFonts w:ascii="宋体" w:hAnsi="宋体"/>
          <w:color w:val="auto"/>
        </w:rPr>
      </w:pPr>
    </w:p>
    <w:bookmarkEnd w:id="0"/>
    <w:p w14:paraId="43EFCDCC">
      <w:pPr>
        <w:rPr>
          <w:rFonts w:ascii="宋体" w:hAnsi="宋体"/>
        </w:rPr>
      </w:pPr>
    </w:p>
    <w:p w14:paraId="117B979B"/>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简体">
    <w:altName w:val="宋体"/>
    <w:panose1 w:val="02000000000000000000"/>
    <w:charset w:val="86"/>
    <w:family w:val="script"/>
    <w:pitch w:val="default"/>
    <w:sig w:usb0="00000000" w:usb1="00000000"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公文小标宋">
    <w:altName w:val="方正小标宋_GBK"/>
    <w:panose1 w:val="02000500000000000000"/>
    <w:charset w:val="00"/>
    <w:family w:val="auto"/>
    <w:pitch w:val="default"/>
    <w:sig w:usb0="00000000" w:usb1="00000000" w:usb2="00000016" w:usb3="00000000" w:csb0="00040001" w:csb1="00000000"/>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A057C">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1D4B2C4">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10</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AcY8ctzwEAAKoDAAAOAAAAAAAAAAEAIAAAAB4BAABkcnMv&#10;ZTJvRG9jLnhtbFBLBQYAAAAABgAGAFkBAABfBQAAAAA=&#10;">
              <v:fill on="f" focussize="0,0"/>
              <v:stroke on="f"/>
              <v:imagedata o:title=""/>
              <o:lock v:ext="edit" aspectratio="f"/>
              <v:textbox inset="0mm,0mm,0mm,0mm" style="mso-fit-shape-to-text:t;">
                <w:txbxContent>
                  <w:p w14:paraId="31D4B2C4">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10</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6A931">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76210B">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23</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Ayf88fzwEAAKoDAAAOAAAAAAAAAAEAIAAAAB4BAABkcnMv&#10;ZTJvRG9jLnhtbFBLBQYAAAAABgAGAFkBAABfBQAAAAA=&#10;">
              <v:fill on="f" focussize="0,0"/>
              <v:stroke on="f"/>
              <v:imagedata o:title=""/>
              <o:lock v:ext="edit" aspectratio="f"/>
              <v:textbox inset="0mm,0mm,0mm,0mm" style="mso-fit-shape-to-text:t;">
                <w:txbxContent>
                  <w:p w14:paraId="1676210B">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23</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83D9C">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05AE1A">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23</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Kt6MsBAACc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CrejLAQAAnAMAAA4AAAAAAAAAAQAgAAAAHgEAAGRycy9lMm9E&#10;b2MueG1sUEsFBgAAAAAGAAYAWQEAAFsFAAAAAA==&#10;">
              <v:fill on="f" focussize="0,0"/>
              <v:stroke on="f"/>
              <v:imagedata o:title=""/>
              <o:lock v:ext="edit" aspectratio="f"/>
              <v:textbox inset="0mm,0mm,0mm,0mm" style="mso-fit-shape-to-text:t;">
                <w:txbxContent>
                  <w:p w14:paraId="4A05AE1A">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23</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mNjhiOGFlMjc3ODYwOTAyZDY3YTY2ZDI1Y2Y1ZWQifQ=="/>
    <w:docVar w:name="KGWebUrl" w:val="http://59.216.223.39:8091/seeyon/officeservlet"/>
  </w:docVars>
  <w:rsids>
    <w:rsidRoot w:val="38807F7E"/>
    <w:rsid w:val="000A3A1D"/>
    <w:rsid w:val="004D68AE"/>
    <w:rsid w:val="00924040"/>
    <w:rsid w:val="00A25685"/>
    <w:rsid w:val="00D129BD"/>
    <w:rsid w:val="01525574"/>
    <w:rsid w:val="01B06775"/>
    <w:rsid w:val="01B103C2"/>
    <w:rsid w:val="01BA4165"/>
    <w:rsid w:val="0285639E"/>
    <w:rsid w:val="02DD2734"/>
    <w:rsid w:val="03744ADF"/>
    <w:rsid w:val="03BB7982"/>
    <w:rsid w:val="03CB1F46"/>
    <w:rsid w:val="03E31F94"/>
    <w:rsid w:val="03E365FB"/>
    <w:rsid w:val="046039F5"/>
    <w:rsid w:val="04BC107B"/>
    <w:rsid w:val="05612DBA"/>
    <w:rsid w:val="0589182A"/>
    <w:rsid w:val="06045D8B"/>
    <w:rsid w:val="06226065"/>
    <w:rsid w:val="06676FDC"/>
    <w:rsid w:val="07840FB3"/>
    <w:rsid w:val="07A27794"/>
    <w:rsid w:val="07E44FA3"/>
    <w:rsid w:val="092C3F24"/>
    <w:rsid w:val="0992115A"/>
    <w:rsid w:val="09EC6D71"/>
    <w:rsid w:val="0ACA761E"/>
    <w:rsid w:val="0AE016F2"/>
    <w:rsid w:val="0C1427D8"/>
    <w:rsid w:val="0C7B7129"/>
    <w:rsid w:val="0C896C25"/>
    <w:rsid w:val="0D7B0EEC"/>
    <w:rsid w:val="0E6E32EC"/>
    <w:rsid w:val="0E715F76"/>
    <w:rsid w:val="0F2926B8"/>
    <w:rsid w:val="10A77D4E"/>
    <w:rsid w:val="10D37347"/>
    <w:rsid w:val="114D60DD"/>
    <w:rsid w:val="126B4B3A"/>
    <w:rsid w:val="129B2269"/>
    <w:rsid w:val="12DE0C17"/>
    <w:rsid w:val="12FF10DF"/>
    <w:rsid w:val="13182ED4"/>
    <w:rsid w:val="132D6F97"/>
    <w:rsid w:val="13840779"/>
    <w:rsid w:val="13BB1E89"/>
    <w:rsid w:val="140F692D"/>
    <w:rsid w:val="143947A7"/>
    <w:rsid w:val="148962B8"/>
    <w:rsid w:val="14CA2483"/>
    <w:rsid w:val="1509701C"/>
    <w:rsid w:val="156E3251"/>
    <w:rsid w:val="15B3580C"/>
    <w:rsid w:val="15BE6A27"/>
    <w:rsid w:val="15D93543"/>
    <w:rsid w:val="165333DB"/>
    <w:rsid w:val="16570F8D"/>
    <w:rsid w:val="166451DA"/>
    <w:rsid w:val="16914F1E"/>
    <w:rsid w:val="16992B13"/>
    <w:rsid w:val="16A16F41"/>
    <w:rsid w:val="16AC5033"/>
    <w:rsid w:val="16E66707"/>
    <w:rsid w:val="16FE40F0"/>
    <w:rsid w:val="182A5753"/>
    <w:rsid w:val="18570968"/>
    <w:rsid w:val="18A3129B"/>
    <w:rsid w:val="18BF4323"/>
    <w:rsid w:val="18CE38BE"/>
    <w:rsid w:val="19263F77"/>
    <w:rsid w:val="19430520"/>
    <w:rsid w:val="19820507"/>
    <w:rsid w:val="19DD3067"/>
    <w:rsid w:val="1A000F09"/>
    <w:rsid w:val="1A01759F"/>
    <w:rsid w:val="1A195A8F"/>
    <w:rsid w:val="1A710D3B"/>
    <w:rsid w:val="1A7C6953"/>
    <w:rsid w:val="1B7821C6"/>
    <w:rsid w:val="1B8903AB"/>
    <w:rsid w:val="1BB27272"/>
    <w:rsid w:val="1BF55616"/>
    <w:rsid w:val="1C132CF5"/>
    <w:rsid w:val="1C2A6F56"/>
    <w:rsid w:val="1C4F47AA"/>
    <w:rsid w:val="1C6F42A3"/>
    <w:rsid w:val="1C70507D"/>
    <w:rsid w:val="1C9A0D7D"/>
    <w:rsid w:val="1CA82745"/>
    <w:rsid w:val="1D096AF8"/>
    <w:rsid w:val="1D3F6F5C"/>
    <w:rsid w:val="1D7025D1"/>
    <w:rsid w:val="1D9077BE"/>
    <w:rsid w:val="1D9E2FB0"/>
    <w:rsid w:val="1E2D0A0A"/>
    <w:rsid w:val="1EC60A7C"/>
    <w:rsid w:val="1ED34507"/>
    <w:rsid w:val="1F9C4B2A"/>
    <w:rsid w:val="1FBC5993"/>
    <w:rsid w:val="203D10E7"/>
    <w:rsid w:val="20560DAA"/>
    <w:rsid w:val="20A76953"/>
    <w:rsid w:val="218A58AE"/>
    <w:rsid w:val="21951ED4"/>
    <w:rsid w:val="21B65022"/>
    <w:rsid w:val="22921685"/>
    <w:rsid w:val="22A74496"/>
    <w:rsid w:val="22D60F0D"/>
    <w:rsid w:val="234E2637"/>
    <w:rsid w:val="2395065E"/>
    <w:rsid w:val="23A4099C"/>
    <w:rsid w:val="244B7E01"/>
    <w:rsid w:val="247E290B"/>
    <w:rsid w:val="25223FEE"/>
    <w:rsid w:val="261774DC"/>
    <w:rsid w:val="268A66DA"/>
    <w:rsid w:val="26C65AB9"/>
    <w:rsid w:val="26F51D1A"/>
    <w:rsid w:val="26FC6116"/>
    <w:rsid w:val="27841B35"/>
    <w:rsid w:val="27AE5784"/>
    <w:rsid w:val="27B6398A"/>
    <w:rsid w:val="27D058A9"/>
    <w:rsid w:val="28456A27"/>
    <w:rsid w:val="2895219C"/>
    <w:rsid w:val="28DD18C2"/>
    <w:rsid w:val="28E355AC"/>
    <w:rsid w:val="28F15E1B"/>
    <w:rsid w:val="296523B3"/>
    <w:rsid w:val="29BF449A"/>
    <w:rsid w:val="2A8079E9"/>
    <w:rsid w:val="2AA1250F"/>
    <w:rsid w:val="2B5D1B6B"/>
    <w:rsid w:val="2BBD42CD"/>
    <w:rsid w:val="2BDC5979"/>
    <w:rsid w:val="2C0A2AC0"/>
    <w:rsid w:val="2CBA57F6"/>
    <w:rsid w:val="2D280872"/>
    <w:rsid w:val="2DA42021"/>
    <w:rsid w:val="2DB468E9"/>
    <w:rsid w:val="2DB5776E"/>
    <w:rsid w:val="2DC01C90"/>
    <w:rsid w:val="2E310CD8"/>
    <w:rsid w:val="2E7E5CF0"/>
    <w:rsid w:val="2EE47E43"/>
    <w:rsid w:val="2EFD2CEA"/>
    <w:rsid w:val="2F6822D9"/>
    <w:rsid w:val="302C2966"/>
    <w:rsid w:val="30311193"/>
    <w:rsid w:val="30413F6D"/>
    <w:rsid w:val="308A3E4C"/>
    <w:rsid w:val="310335EA"/>
    <w:rsid w:val="310B70BE"/>
    <w:rsid w:val="316E18CF"/>
    <w:rsid w:val="317B47A2"/>
    <w:rsid w:val="3263098A"/>
    <w:rsid w:val="329F3444"/>
    <w:rsid w:val="32D801E1"/>
    <w:rsid w:val="32E07DA8"/>
    <w:rsid w:val="3313177D"/>
    <w:rsid w:val="33C66E88"/>
    <w:rsid w:val="341259A1"/>
    <w:rsid w:val="34516052"/>
    <w:rsid w:val="34D30681"/>
    <w:rsid w:val="35A2297B"/>
    <w:rsid w:val="35DC11CC"/>
    <w:rsid w:val="363340B6"/>
    <w:rsid w:val="37374929"/>
    <w:rsid w:val="37E3421F"/>
    <w:rsid w:val="380F1629"/>
    <w:rsid w:val="385B037F"/>
    <w:rsid w:val="38807F7E"/>
    <w:rsid w:val="3899110D"/>
    <w:rsid w:val="39B77CF7"/>
    <w:rsid w:val="3A940498"/>
    <w:rsid w:val="3B3E2D92"/>
    <w:rsid w:val="3C2F0F0E"/>
    <w:rsid w:val="3C330C2D"/>
    <w:rsid w:val="3D0C7A88"/>
    <w:rsid w:val="3D180B5B"/>
    <w:rsid w:val="3D7036AA"/>
    <w:rsid w:val="3D956F68"/>
    <w:rsid w:val="3DAB0AAE"/>
    <w:rsid w:val="3F2D201B"/>
    <w:rsid w:val="3F6C33D4"/>
    <w:rsid w:val="3FD301D5"/>
    <w:rsid w:val="40B32AC2"/>
    <w:rsid w:val="40C16280"/>
    <w:rsid w:val="40C17821"/>
    <w:rsid w:val="411B57FB"/>
    <w:rsid w:val="4125187D"/>
    <w:rsid w:val="41C67DEC"/>
    <w:rsid w:val="41EB0AEF"/>
    <w:rsid w:val="42001702"/>
    <w:rsid w:val="425E0867"/>
    <w:rsid w:val="42635B30"/>
    <w:rsid w:val="42E5124D"/>
    <w:rsid w:val="43007E44"/>
    <w:rsid w:val="434535EF"/>
    <w:rsid w:val="43627C3A"/>
    <w:rsid w:val="43AE7A21"/>
    <w:rsid w:val="4434318E"/>
    <w:rsid w:val="44AC2A9E"/>
    <w:rsid w:val="44C6712F"/>
    <w:rsid w:val="44D02E62"/>
    <w:rsid w:val="44D34207"/>
    <w:rsid w:val="44E30032"/>
    <w:rsid w:val="45194D0D"/>
    <w:rsid w:val="458B5FF8"/>
    <w:rsid w:val="4591335F"/>
    <w:rsid w:val="45997F88"/>
    <w:rsid w:val="45BA5F54"/>
    <w:rsid w:val="462337DE"/>
    <w:rsid w:val="465F40EE"/>
    <w:rsid w:val="47E15F1E"/>
    <w:rsid w:val="47F87366"/>
    <w:rsid w:val="47FC3688"/>
    <w:rsid w:val="48662C03"/>
    <w:rsid w:val="48EB33B5"/>
    <w:rsid w:val="490C6168"/>
    <w:rsid w:val="491B667E"/>
    <w:rsid w:val="497F3EFC"/>
    <w:rsid w:val="49A328C2"/>
    <w:rsid w:val="4A975632"/>
    <w:rsid w:val="4AAB1243"/>
    <w:rsid w:val="4B0142CB"/>
    <w:rsid w:val="4B4C70EB"/>
    <w:rsid w:val="4C155747"/>
    <w:rsid w:val="4C3868CE"/>
    <w:rsid w:val="4C3C2B49"/>
    <w:rsid w:val="4C752F27"/>
    <w:rsid w:val="4CD87FBA"/>
    <w:rsid w:val="4CE54BD7"/>
    <w:rsid w:val="4D3F31A7"/>
    <w:rsid w:val="4DB55DF4"/>
    <w:rsid w:val="4E392608"/>
    <w:rsid w:val="4E6F7262"/>
    <w:rsid w:val="4EA82855"/>
    <w:rsid w:val="4F8E6289"/>
    <w:rsid w:val="4FE22054"/>
    <w:rsid w:val="50B049C8"/>
    <w:rsid w:val="51211E60"/>
    <w:rsid w:val="51631E0C"/>
    <w:rsid w:val="51F12449"/>
    <w:rsid w:val="52AD057C"/>
    <w:rsid w:val="5349362D"/>
    <w:rsid w:val="53690412"/>
    <w:rsid w:val="53A4145E"/>
    <w:rsid w:val="546250D2"/>
    <w:rsid w:val="54A92D44"/>
    <w:rsid w:val="557B0BF7"/>
    <w:rsid w:val="55830C34"/>
    <w:rsid w:val="55D76DE0"/>
    <w:rsid w:val="55FB794C"/>
    <w:rsid w:val="56204136"/>
    <w:rsid w:val="565E3E2C"/>
    <w:rsid w:val="56D92EA2"/>
    <w:rsid w:val="57083331"/>
    <w:rsid w:val="57100DC2"/>
    <w:rsid w:val="57390579"/>
    <w:rsid w:val="57C957E5"/>
    <w:rsid w:val="58353680"/>
    <w:rsid w:val="5847182A"/>
    <w:rsid w:val="58B77B38"/>
    <w:rsid w:val="591F5EDD"/>
    <w:rsid w:val="59567042"/>
    <w:rsid w:val="595F52D3"/>
    <w:rsid w:val="5AC72952"/>
    <w:rsid w:val="5B585070"/>
    <w:rsid w:val="5C5A593A"/>
    <w:rsid w:val="5D4A29EA"/>
    <w:rsid w:val="5D8A3E55"/>
    <w:rsid w:val="5DFD112F"/>
    <w:rsid w:val="5E02195D"/>
    <w:rsid w:val="5E876C87"/>
    <w:rsid w:val="5EBF0273"/>
    <w:rsid w:val="5EF8678D"/>
    <w:rsid w:val="5F115E09"/>
    <w:rsid w:val="5F1E3B98"/>
    <w:rsid w:val="602A03B7"/>
    <w:rsid w:val="61F14ADC"/>
    <w:rsid w:val="61F44065"/>
    <w:rsid w:val="61F536EB"/>
    <w:rsid w:val="626C776B"/>
    <w:rsid w:val="62C76220"/>
    <w:rsid w:val="62DE2BB6"/>
    <w:rsid w:val="630731EB"/>
    <w:rsid w:val="635739B5"/>
    <w:rsid w:val="63A10D0F"/>
    <w:rsid w:val="63ED2779"/>
    <w:rsid w:val="644D6A9B"/>
    <w:rsid w:val="64547A5F"/>
    <w:rsid w:val="64C64507"/>
    <w:rsid w:val="65203C86"/>
    <w:rsid w:val="657E4720"/>
    <w:rsid w:val="65AB0E39"/>
    <w:rsid w:val="65B30F2D"/>
    <w:rsid w:val="65BD5B30"/>
    <w:rsid w:val="66394395"/>
    <w:rsid w:val="66D164B4"/>
    <w:rsid w:val="67507302"/>
    <w:rsid w:val="67CA070A"/>
    <w:rsid w:val="67FD47E6"/>
    <w:rsid w:val="684A2064"/>
    <w:rsid w:val="687224AE"/>
    <w:rsid w:val="68785BCC"/>
    <w:rsid w:val="68B01DD6"/>
    <w:rsid w:val="693A6A3F"/>
    <w:rsid w:val="69713274"/>
    <w:rsid w:val="699E132B"/>
    <w:rsid w:val="6A0F7D05"/>
    <w:rsid w:val="6ABA15AA"/>
    <w:rsid w:val="6AC33238"/>
    <w:rsid w:val="6AD95CCD"/>
    <w:rsid w:val="6ADA43DC"/>
    <w:rsid w:val="6AE76D34"/>
    <w:rsid w:val="6B4D408A"/>
    <w:rsid w:val="6B530E97"/>
    <w:rsid w:val="6B983B96"/>
    <w:rsid w:val="6C487E48"/>
    <w:rsid w:val="6C4E2B98"/>
    <w:rsid w:val="6CF25A66"/>
    <w:rsid w:val="6DF0018E"/>
    <w:rsid w:val="6DF37BC0"/>
    <w:rsid w:val="6F952767"/>
    <w:rsid w:val="6FBC64DE"/>
    <w:rsid w:val="6FFE35E2"/>
    <w:rsid w:val="703F3F7B"/>
    <w:rsid w:val="70AE0707"/>
    <w:rsid w:val="70C06C4C"/>
    <w:rsid w:val="71AC7A53"/>
    <w:rsid w:val="72EB25D9"/>
    <w:rsid w:val="73856D5F"/>
    <w:rsid w:val="73EE1B6E"/>
    <w:rsid w:val="73FD3770"/>
    <w:rsid w:val="757444DD"/>
    <w:rsid w:val="759F31F9"/>
    <w:rsid w:val="75CA167C"/>
    <w:rsid w:val="7622731E"/>
    <w:rsid w:val="77374C30"/>
    <w:rsid w:val="77AC51CB"/>
    <w:rsid w:val="780C1B45"/>
    <w:rsid w:val="78E97DB6"/>
    <w:rsid w:val="78EE15C2"/>
    <w:rsid w:val="796D116A"/>
    <w:rsid w:val="7A002F89"/>
    <w:rsid w:val="7A2512BC"/>
    <w:rsid w:val="7AF85873"/>
    <w:rsid w:val="7B310790"/>
    <w:rsid w:val="7BC84938"/>
    <w:rsid w:val="7C0B5031"/>
    <w:rsid w:val="7C0E29B7"/>
    <w:rsid w:val="7CE27B71"/>
    <w:rsid w:val="7D51065C"/>
    <w:rsid w:val="7DA418B5"/>
    <w:rsid w:val="7E7D001D"/>
    <w:rsid w:val="7EB46998"/>
    <w:rsid w:val="7EB82EB9"/>
    <w:rsid w:val="7ED85247"/>
    <w:rsid w:val="7F0F2FE9"/>
    <w:rsid w:val="7F175D73"/>
    <w:rsid w:val="7F184B5F"/>
    <w:rsid w:val="7F2D7202"/>
    <w:rsid w:val="7F642847"/>
    <w:rsid w:val="7F727DDA"/>
    <w:rsid w:val="7F7F5767"/>
    <w:rsid w:val="7F9A3617"/>
    <w:rsid w:val="7FAB37EC"/>
    <w:rsid w:val="7FAD767C"/>
    <w:rsid w:val="7FC367E5"/>
    <w:rsid w:val="7FCE7B2C"/>
    <w:rsid w:val="8FEC5B26"/>
    <w:rsid w:val="9EE36232"/>
    <w:rsid w:val="F9189D2D"/>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qFormat/>
    <w:uiPriority w:val="0"/>
    <w:rPr>
      <w:b/>
    </w:rPr>
  </w:style>
  <w:style w:type="paragraph" w:customStyle="1" w:styleId="7">
    <w:name w:val="_Style 6"/>
    <w:hidden/>
    <w:unhideWhenUsed/>
    <w:qFormat/>
    <w:uiPriority w:val="99"/>
    <w:rPr>
      <w:rFonts w:ascii="Calibri" w:hAnsi="Calibri" w:eastAsia="宋体" w:cs="Times New Roman"/>
      <w:kern w:val="2"/>
      <w:sz w:val="21"/>
      <w:szCs w:val="24"/>
      <w:lang w:val="en-US" w:eastAsia="zh-CN" w:bidi="ar-SA"/>
    </w:rPr>
  </w:style>
  <w:style w:type="paragraph" w:customStyle="1" w:styleId="8">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云南省林业厅</Company>
  <Pages>65</Pages>
  <Words>6236</Words>
  <Characters>6875</Characters>
  <Lines>0</Lines>
  <Paragraphs>0</Paragraphs>
  <TotalTime>9</TotalTime>
  <ScaleCrop>false</ScaleCrop>
  <LinksUpToDate>false</LinksUpToDate>
  <CharactersWithSpaces>6921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2025-07-10T11:21:00Z</dcterms:created>
  <dc:creator>吴轩御承</dc:creator>
  <cp:lastModifiedBy>刘丹妮</cp:lastModifiedBy>
  <dcterms:modified xsi:type="dcterms:W3CDTF">2025-12-19T07:44:23Z</dcterms:modified>
  <dc:title>云南省林业和草原局办公室关于印发</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D62118D69B3F4B0FB394E61976F7A27D_13</vt:lpwstr>
  </property>
  <property fmtid="{D5CDD505-2E9C-101B-9397-08002B2CF9AE}" pid="4" name="KSOTemplateDocerSaveRecord">
    <vt:lpwstr>eyJoZGlkIjoiZmNmM2Y3MTdkMmUxMzNmYmJkMWE3ZGExZDEyZmYzMDEiLCJ1c2VySWQiOiI0NTM1MDUxNDkifQ==</vt:lpwstr>
  </property>
</Properties>
</file>