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C90A5">
      <w:pPr>
        <w:pStyle w:val="5"/>
        <w:numPr>
          <w:ilvl w:val="0"/>
          <w:numId w:val="0"/>
        </w:numPr>
        <w:shd w:val="clear" w:color="auto" w:fill="auto"/>
        <w:spacing w:before="0" w:after="0" w:line="240" w:lineRule="auto"/>
        <w:outlineLvl w:val="1"/>
        <w:rPr>
          <w:rFonts w:hint="eastAsia" w:ascii="宋体" w:hAnsi="宋体" w:eastAsia="宋体" w:cs="宋体"/>
          <w:color w:val="auto"/>
          <w:sz w:val="28"/>
          <w:szCs w:val="28"/>
          <w:highlight w:val="none"/>
        </w:rPr>
      </w:pPr>
      <w:bookmarkStart w:id="0" w:name="_Toc14999"/>
      <w:bookmarkStart w:id="1" w:name="_Toc8260"/>
      <w:bookmarkStart w:id="2" w:name="_Toc202517415"/>
      <w:bookmarkStart w:id="3" w:name="_Toc9666"/>
      <w:bookmarkStart w:id="4" w:name="_Toc8838"/>
      <w:r>
        <w:rPr>
          <w:rFonts w:hint="eastAsia" w:ascii="方正楷体_GBK" w:hAnsi="方正楷体_GBK" w:eastAsia="方正楷体_GBK" w:cs="方正楷体_GBK"/>
          <w:color w:val="auto"/>
          <w:sz w:val="28"/>
          <w:szCs w:val="28"/>
          <w:highlight w:val="none"/>
        </w:rPr>
        <w:t>附  录  C</w:t>
      </w:r>
      <w:bookmarkEnd w:id="0"/>
      <w:bookmarkEnd w:id="1"/>
      <w:bookmarkEnd w:id="2"/>
      <w:bookmarkEnd w:id="3"/>
      <w:bookmarkEnd w:id="4"/>
    </w:p>
    <w:p w14:paraId="343CF743">
      <w:pPr>
        <w:spacing w:line="440" w:lineRule="exact"/>
        <w:jc w:val="center"/>
        <w:rPr>
          <w:rFonts w:hint="eastAsia" w:ascii="方正楷体_GBK" w:hAnsi="方正楷体_GBK" w:eastAsia="方正楷体_GBK" w:cs="方正楷体_GBK"/>
          <w:b w:val="0"/>
          <w:bCs w:val="0"/>
          <w:color w:val="auto"/>
          <w:sz w:val="32"/>
          <w:szCs w:val="32"/>
          <w:highlight w:val="none"/>
        </w:rPr>
      </w:pPr>
      <w:r>
        <w:rPr>
          <w:rFonts w:hint="eastAsia" w:ascii="方正楷体_GBK" w:hAnsi="方正楷体_GBK" w:eastAsia="方正楷体_GBK" w:cs="方正楷体_GBK"/>
          <w:b w:val="0"/>
          <w:bCs w:val="0"/>
          <w:color w:val="auto"/>
          <w:sz w:val="32"/>
          <w:szCs w:val="32"/>
          <w:highlight w:val="none"/>
        </w:rPr>
        <w:t>术语和定义</w:t>
      </w:r>
    </w:p>
    <w:p w14:paraId="10B2E5D7">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rPr>
        <w:t>1</w:t>
      </w:r>
      <w:r>
        <w:rPr>
          <w:rFonts w:hint="eastAsia" w:ascii="方正仿宋_GBK" w:hAnsi="方正仿宋_GBK" w:eastAsia="方正仿宋_GBK" w:cs="方正仿宋_GBK"/>
          <w:b/>
          <w:bCs/>
          <w:color w:val="auto"/>
          <w:sz w:val="28"/>
          <w:szCs w:val="28"/>
          <w:highlight w:val="none"/>
        </w:rPr>
        <w:t xml:space="preserve">.森林经营 </w:t>
      </w:r>
    </w:p>
    <w:p w14:paraId="1D5DD067">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从形成森林、培育森林到采伐更新整个过程的各种森林培育措施和管护措施的总称。</w:t>
      </w:r>
    </w:p>
    <w:p w14:paraId="732EA87D">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rPr>
        <w:t>2</w:t>
      </w:r>
      <w:r>
        <w:rPr>
          <w:rFonts w:hint="eastAsia" w:ascii="方正仿宋_GBK" w:hAnsi="方正仿宋_GBK" w:eastAsia="方正仿宋_GBK" w:cs="方正仿宋_GBK"/>
          <w:b/>
          <w:bCs/>
          <w:color w:val="auto"/>
          <w:sz w:val="28"/>
          <w:szCs w:val="28"/>
          <w:highlight w:val="none"/>
        </w:rPr>
        <w:t>.森林经营单位</w:t>
      </w:r>
    </w:p>
    <w:p w14:paraId="6539BB3A">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有明确边界和单位法人资质</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以森林资源为主要生产资料</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长期进行森林经营和管护的单位。</w:t>
      </w:r>
    </w:p>
    <w:p w14:paraId="0131043A">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rPr>
        <w:t>3</w:t>
      </w:r>
      <w:r>
        <w:rPr>
          <w:rFonts w:hint="eastAsia" w:ascii="方正仿宋_GBK" w:hAnsi="方正仿宋_GBK" w:eastAsia="方正仿宋_GBK" w:cs="方正仿宋_GBK"/>
          <w:b/>
          <w:bCs/>
          <w:color w:val="auto"/>
          <w:sz w:val="28"/>
          <w:szCs w:val="28"/>
          <w:highlight w:val="none"/>
        </w:rPr>
        <w:t>.编案单位</w:t>
      </w:r>
    </w:p>
    <w:p w14:paraId="3A3329B6">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是指拥有森林资源资产的所有权或经营权、处置权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经营界限明确</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产权明晰</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有一定经营规模和相对稳定的经营期限</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能自主决策和实施森林经营</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为满足森林经营需求而直接参与经济活动的经营单位、经济实体。</w:t>
      </w:r>
    </w:p>
    <w:p w14:paraId="1FB1E55E">
      <w:pPr>
        <w:shd w:val="clear" w:color="auto" w:fill="auto"/>
        <w:spacing w:line="440" w:lineRule="exact"/>
        <w:ind w:firstLine="560" w:firstLineChars="200"/>
        <w:outlineLvl w:val="1"/>
        <w:rPr>
          <w:rFonts w:hint="eastAsia" w:ascii="方正仿宋_GBK" w:hAnsi="方正仿宋_GBK" w:eastAsia="方正仿宋_GBK" w:cs="方正仿宋_GBK"/>
          <w:color w:val="auto"/>
          <w:sz w:val="28"/>
          <w:szCs w:val="28"/>
          <w:highlight w:val="none"/>
        </w:rPr>
      </w:pPr>
      <w:bookmarkStart w:id="5" w:name="_Toc239933330"/>
      <w:bookmarkStart w:id="6" w:name="_Toc239933459"/>
      <w:r>
        <w:rPr>
          <w:rFonts w:hint="eastAsia" w:ascii="宋体" w:hAnsi="宋体" w:eastAsia="宋体" w:cs="宋体"/>
          <w:b w:val="0"/>
          <w:bCs w:val="0"/>
          <w:color w:val="auto"/>
          <w:sz w:val="28"/>
          <w:szCs w:val="28"/>
          <w:highlight w:val="none"/>
        </w:rPr>
        <w:t>4</w:t>
      </w:r>
      <w:r>
        <w:rPr>
          <w:rFonts w:hint="eastAsia" w:ascii="方正仿宋_GBK" w:hAnsi="方正仿宋_GBK" w:eastAsia="方正仿宋_GBK" w:cs="方正仿宋_GBK"/>
          <w:b/>
          <w:bCs/>
          <w:color w:val="auto"/>
          <w:sz w:val="28"/>
          <w:szCs w:val="28"/>
          <w:highlight w:val="none"/>
        </w:rPr>
        <w:t>.森林经理期</w:t>
      </w:r>
      <w:bookmarkEnd w:id="5"/>
      <w:bookmarkEnd w:id="6"/>
    </w:p>
    <w:p w14:paraId="7DA81815">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是指森林经营主体为实现其阶段目标任务</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在一定时段内按照既定的经营方针、目标与任务对所属森林资源进行资源调整、配置的最佳时间间隔期。经理期一般为</w:t>
      </w:r>
      <w:r>
        <w:rPr>
          <w:rFonts w:hint="eastAsia" w:ascii="宋体" w:hAnsi="宋体" w:eastAsia="宋体" w:cs="宋体"/>
          <w:b w:val="0"/>
          <w:bCs w:val="0"/>
          <w:color w:val="auto"/>
          <w:sz w:val="28"/>
          <w:szCs w:val="28"/>
          <w:highlight w:val="none"/>
        </w:rPr>
        <w:t>10</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以工业原料林为主要经营对象的编案单位经理期可以为</w:t>
      </w:r>
      <w:r>
        <w:rPr>
          <w:rFonts w:hint="eastAsia" w:ascii="宋体" w:hAnsi="宋体" w:eastAsia="宋体" w:cs="宋体"/>
          <w:b w:val="0"/>
          <w:bCs w:val="0"/>
          <w:color w:val="auto"/>
          <w:sz w:val="28"/>
          <w:szCs w:val="28"/>
          <w:highlight w:val="none"/>
        </w:rPr>
        <w:t>5</w:t>
      </w:r>
      <w:r>
        <w:rPr>
          <w:rFonts w:hint="eastAsia" w:ascii="方正仿宋_GBK" w:hAnsi="方正仿宋_GBK" w:eastAsia="方正仿宋_GBK" w:cs="方正仿宋_GBK"/>
          <w:color w:val="auto"/>
          <w:sz w:val="28"/>
          <w:szCs w:val="28"/>
          <w:highlight w:val="none"/>
        </w:rPr>
        <w:t>年。</w:t>
      </w:r>
    </w:p>
    <w:p w14:paraId="0E0A3390">
      <w:pPr>
        <w:shd w:val="clear" w:color="auto" w:fill="auto"/>
        <w:spacing w:line="440" w:lineRule="exact"/>
        <w:ind w:firstLine="560" w:firstLineChars="200"/>
        <w:outlineLvl w:val="9"/>
        <w:rPr>
          <w:rFonts w:hint="eastAsia" w:ascii="方正仿宋_GBK" w:hAnsi="方正仿宋_GBK" w:eastAsia="方正仿宋_GBK" w:cs="方正仿宋_GBK"/>
          <w:b/>
          <w:bCs/>
          <w:color w:val="auto"/>
          <w:sz w:val="28"/>
          <w:szCs w:val="28"/>
          <w:highlight w:val="none"/>
        </w:rPr>
      </w:pPr>
      <w:bookmarkStart w:id="7" w:name="_Toc239933331"/>
      <w:bookmarkStart w:id="8" w:name="_Toc239933460"/>
      <w:r>
        <w:rPr>
          <w:rFonts w:hint="eastAsia" w:ascii="宋体" w:hAnsi="宋体" w:eastAsia="宋体" w:cs="宋体"/>
          <w:b w:val="0"/>
          <w:bCs w:val="0"/>
          <w:color w:val="auto"/>
          <w:sz w:val="28"/>
          <w:szCs w:val="28"/>
          <w:highlight w:val="none"/>
        </w:rPr>
        <w:t>5</w:t>
      </w:r>
      <w:r>
        <w:rPr>
          <w:rFonts w:hint="eastAsia" w:ascii="方正仿宋_GBK" w:hAnsi="方正仿宋_GBK" w:eastAsia="方正仿宋_GBK" w:cs="方正仿宋_GBK"/>
          <w:b/>
          <w:bCs/>
          <w:color w:val="auto"/>
          <w:sz w:val="28"/>
          <w:szCs w:val="28"/>
          <w:highlight w:val="none"/>
        </w:rPr>
        <w:t xml:space="preserve">.类型经营法 </w:t>
      </w:r>
    </w:p>
    <w:p w14:paraId="08572466">
      <w:pPr>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以森林经营类型组织为单元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设计经营目标和技术措施的森林经营方法。</w:t>
      </w:r>
    </w:p>
    <w:p w14:paraId="732071D4">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lang w:val="en-US" w:eastAsia="zh-CN"/>
        </w:rPr>
        <w:t>6</w:t>
      </w:r>
      <w:r>
        <w:rPr>
          <w:rFonts w:hint="eastAsia" w:ascii="方正仿宋_GBK" w:hAnsi="方正仿宋_GBK" w:eastAsia="方正仿宋_GBK" w:cs="方正仿宋_GBK"/>
          <w:b/>
          <w:bCs/>
          <w:color w:val="auto"/>
          <w:sz w:val="28"/>
          <w:szCs w:val="28"/>
          <w:highlight w:val="none"/>
        </w:rPr>
        <w:t>.区域经营法</w:t>
      </w:r>
    </w:p>
    <w:p w14:paraId="253DA75B">
      <w:pPr>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以经营区域为单元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设计经营目标和技术措施的森林经营方法。（注：经营区域是具有相同经营目的、能采取统一经营措施的、且地域上相连的具有一定规模的多个小班或林班组成的单元。）</w:t>
      </w:r>
    </w:p>
    <w:p w14:paraId="5EAFAD8D">
      <w:pPr>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lang w:val="en-US" w:eastAsia="zh-CN"/>
        </w:rPr>
        <w:t>7</w:t>
      </w:r>
      <w:r>
        <w:rPr>
          <w:rFonts w:hint="eastAsia" w:ascii="方正仿宋_GBK" w:hAnsi="方正仿宋_GBK" w:eastAsia="方正仿宋_GBK" w:cs="方正仿宋_GBK"/>
          <w:b/>
          <w:bCs/>
          <w:color w:val="auto"/>
          <w:sz w:val="28"/>
          <w:szCs w:val="28"/>
          <w:highlight w:val="none"/>
        </w:rPr>
        <w:t>.小班经营法</w:t>
      </w:r>
    </w:p>
    <w:p w14:paraId="2F57EC7E">
      <w:pPr>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以单个小班为单元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设计独立的经营目标和经营措施体系的森林经营方法。</w:t>
      </w:r>
    </w:p>
    <w:bookmarkEnd w:id="7"/>
    <w:bookmarkEnd w:id="8"/>
    <w:p w14:paraId="01CB3C48">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bookmarkStart w:id="9" w:name="_Toc239933464"/>
      <w:bookmarkStart w:id="10" w:name="_Toc239933335"/>
      <w:r>
        <w:rPr>
          <w:rFonts w:hint="eastAsia" w:ascii="宋体" w:hAnsi="宋体" w:eastAsia="宋体" w:cs="宋体"/>
          <w:b w:val="0"/>
          <w:bCs w:val="0"/>
          <w:color w:val="auto"/>
          <w:sz w:val="28"/>
          <w:szCs w:val="28"/>
          <w:highlight w:val="none"/>
          <w:lang w:val="en-US" w:eastAsia="zh-CN"/>
        </w:rPr>
        <w:t>8</w:t>
      </w:r>
      <w:r>
        <w:rPr>
          <w:rFonts w:hint="eastAsia" w:ascii="方正仿宋_GBK" w:hAnsi="方正仿宋_GBK" w:eastAsia="方正仿宋_GBK" w:cs="方正仿宋_GBK"/>
          <w:b/>
          <w:bCs/>
          <w:color w:val="auto"/>
          <w:sz w:val="28"/>
          <w:szCs w:val="28"/>
          <w:highlight w:val="none"/>
        </w:rPr>
        <w:t>.森林经营类型</w:t>
      </w:r>
      <w:bookmarkEnd w:id="9"/>
      <w:bookmarkEnd w:id="10"/>
    </w:p>
    <w:p w14:paraId="75CDB853">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将经营目标、经营周期、经营管理水平、立地质量和技术特征相同或相似的小班</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划归同一类型</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采取相对一致的培育过程的小班集合体。</w:t>
      </w:r>
    </w:p>
    <w:p w14:paraId="6896C244">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bookmarkStart w:id="11" w:name="_Toc239933336"/>
      <w:bookmarkStart w:id="12" w:name="_Toc239933465"/>
      <w:r>
        <w:rPr>
          <w:rFonts w:hint="eastAsia" w:ascii="宋体" w:hAnsi="宋体" w:eastAsia="宋体" w:cs="宋体"/>
          <w:b w:val="0"/>
          <w:bCs w:val="0"/>
          <w:color w:val="auto"/>
          <w:sz w:val="28"/>
          <w:szCs w:val="28"/>
          <w:highlight w:val="none"/>
          <w:lang w:val="en-US" w:eastAsia="zh-CN"/>
        </w:rPr>
        <w:t>9</w:t>
      </w:r>
      <w:r>
        <w:rPr>
          <w:rFonts w:hint="eastAsia" w:ascii="方正仿宋_GBK" w:hAnsi="方正仿宋_GBK" w:eastAsia="方正仿宋_GBK" w:cs="方正仿宋_GBK"/>
          <w:b/>
          <w:bCs/>
          <w:color w:val="auto"/>
          <w:sz w:val="28"/>
          <w:szCs w:val="28"/>
          <w:highlight w:val="none"/>
        </w:rPr>
        <w:t>.森林经营措施类型</w:t>
      </w:r>
      <w:bookmarkEnd w:id="11"/>
      <w:bookmarkEnd w:id="12"/>
    </w:p>
    <w:p w14:paraId="2BA8C5D5">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按照森林培育和利用的主要环节或技术措施</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将森林经营措施和技术特征相同的小班组织为同一类型的小班集合体。</w:t>
      </w:r>
    </w:p>
    <w:p w14:paraId="16AAF805">
      <w:pPr>
        <w:shd w:val="clear" w:color="auto" w:fill="auto"/>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rPr>
        <w:t>1</w:t>
      </w:r>
      <w:r>
        <w:rPr>
          <w:rFonts w:hint="eastAsia" w:ascii="宋体" w:hAnsi="宋体" w:eastAsia="宋体" w:cs="宋体"/>
          <w:b w:val="0"/>
          <w:bCs w:val="0"/>
          <w:color w:val="auto"/>
          <w:sz w:val="28"/>
          <w:szCs w:val="28"/>
          <w:highlight w:val="none"/>
          <w:lang w:val="en-US" w:eastAsia="zh-CN"/>
        </w:rPr>
        <w:t>0</w:t>
      </w:r>
      <w:r>
        <w:rPr>
          <w:rFonts w:hint="eastAsia" w:ascii="方正仿宋_GBK" w:hAnsi="方正仿宋_GBK" w:eastAsia="方正仿宋_GBK" w:cs="方正仿宋_GBK"/>
          <w:b/>
          <w:bCs/>
          <w:color w:val="auto"/>
          <w:sz w:val="28"/>
          <w:szCs w:val="28"/>
          <w:highlight w:val="none"/>
        </w:rPr>
        <w:t>.全周期经营计划</w:t>
      </w:r>
    </w:p>
    <w:p w14:paraId="733316B2">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全周期经营计划是从森林的建立、培育到采伐利用全部过程所采用的一系列技术措施的综合。</w:t>
      </w:r>
    </w:p>
    <w:p w14:paraId="75DDE25B">
      <w:pPr>
        <w:spacing w:line="440" w:lineRule="exact"/>
        <w:ind w:firstLine="560" w:firstLineChars="200"/>
        <w:outlineLvl w:val="1"/>
        <w:rPr>
          <w:rFonts w:hint="eastAsia" w:ascii="方正仿宋_GBK" w:hAnsi="方正仿宋_GBK" w:eastAsia="方正仿宋_GBK" w:cs="方正仿宋_GBK"/>
          <w:b/>
          <w:bCs/>
          <w:color w:val="auto"/>
          <w:sz w:val="28"/>
          <w:szCs w:val="28"/>
          <w:highlight w:val="none"/>
        </w:rPr>
      </w:pPr>
      <w:r>
        <w:rPr>
          <w:rFonts w:hint="eastAsia" w:ascii="宋体" w:hAnsi="宋体" w:eastAsia="宋体" w:cs="宋体"/>
          <w:b w:val="0"/>
          <w:bCs w:val="0"/>
          <w:color w:val="auto"/>
          <w:sz w:val="28"/>
          <w:szCs w:val="28"/>
          <w:highlight w:val="none"/>
        </w:rPr>
        <w:t>1</w:t>
      </w:r>
      <w:r>
        <w:rPr>
          <w:rFonts w:hint="eastAsia" w:ascii="宋体" w:hAnsi="宋体" w:eastAsia="宋体" w:cs="宋体"/>
          <w:b w:val="0"/>
          <w:bCs w:val="0"/>
          <w:color w:val="auto"/>
          <w:sz w:val="28"/>
          <w:szCs w:val="28"/>
          <w:highlight w:val="none"/>
          <w:lang w:val="en-US" w:eastAsia="zh-CN"/>
        </w:rPr>
        <w:t>1</w:t>
      </w:r>
      <w:r>
        <w:rPr>
          <w:rFonts w:hint="eastAsia" w:ascii="方正仿宋_GBK" w:hAnsi="方正仿宋_GBK" w:eastAsia="方正仿宋_GBK" w:cs="方正仿宋_GBK"/>
          <w:b/>
          <w:bCs/>
          <w:color w:val="auto"/>
          <w:sz w:val="28"/>
          <w:szCs w:val="28"/>
          <w:highlight w:val="none"/>
        </w:rPr>
        <w:t>.目标林相</w:t>
      </w:r>
    </w:p>
    <w:p w14:paraId="31747EF8">
      <w:pPr>
        <w:shd w:val="clear" w:color="auto" w:fill="auto"/>
        <w:spacing w:line="440" w:lineRule="exact"/>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是指通过持续经营培育成符合特定目标的森林状态</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包括单位面积蓄积量、生产力、天然更新能力、森林健康度和经济收益等方面‌。</w:t>
      </w:r>
    </w:p>
    <w:p w14:paraId="589DFCA8">
      <w:pPr>
        <w:shd w:val="clear" w:color="auto" w:fill="auto"/>
        <w:ind w:firstLine="0" w:firstLineChars="0"/>
        <w:rPr>
          <w:rFonts w:hint="eastAsia" w:ascii="方正仿宋_GBK" w:hAnsi="方正仿宋_GBK" w:eastAsia="方正仿宋_GBK" w:cs="方正仿宋_GBK"/>
          <w:color w:val="auto"/>
          <w:sz w:val="18"/>
          <w:szCs w:val="18"/>
          <w:highlight w:val="none"/>
          <w:lang w:val="en-US" w:eastAsia="zh-CN"/>
        </w:rPr>
      </w:pPr>
    </w:p>
    <w:p w14:paraId="16044FA2"/>
    <w:p w14:paraId="2A147AFB">
      <w:bookmarkStart w:id="13" w:name="_GoBack"/>
      <w:bookmarkEnd w:id="13"/>
    </w:p>
    <w:sectPr>
      <w:pgSz w:w="11906" w:h="16838"/>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A2D62D"/>
    <w:multiLevelType w:val="singleLevel"/>
    <w:tmpl w:val="5DA2D62D"/>
    <w:lvl w:ilvl="0" w:tentative="0">
      <w:start w:val="1"/>
      <w:numFmt w:val="chineseCounting"/>
      <w:pStyle w:val="5"/>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C11411"/>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0C624E"/>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24553"/>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6D5ABF"/>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AC11411"/>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882BE8"/>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customStyle="1" w:styleId="5">
    <w:name w:val="附录标识"/>
    <w:basedOn w:val="1"/>
    <w:next w:val="6"/>
    <w:qFormat/>
    <w:uiPriority w:val="0"/>
    <w:pPr>
      <w:keepNext/>
      <w:widowControl/>
      <w:numPr>
        <w:ilvl w:val="0"/>
        <w:numId w:val="1"/>
      </w:numPr>
      <w:shd w:val="clear" w:color="FFFFFF" w:fill="FFFFFF"/>
      <w:tabs>
        <w:tab w:val="left" w:pos="6405"/>
      </w:tabs>
      <w:spacing w:before="640" w:after="280"/>
      <w:jc w:val="center"/>
      <w:outlineLvl w:val="0"/>
    </w:pPr>
    <w:rPr>
      <w:rFonts w:ascii="黑体" w:eastAsia="黑体"/>
      <w:kern w:val="0"/>
      <w:szCs w:val="20"/>
    </w:rPr>
  </w:style>
  <w:style w:type="paragraph" w:customStyle="1" w:styleId="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2025-12-24T07:56:00Z</dcterms:created>
  <dc:creator>刘丹妮</dc:creator>
  <cp:lastModifiedBy>刘丹妮</cp:lastModifiedBy>
  <dcterms:modified xsi:type="dcterms:W3CDTF">2025-12-24T07:57:19Z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81DE2B2DFBD64A988F153E2342DE30DC_11</vt:lpwstr>
  </property>
  <property fmtid="{D5CDD505-2E9C-101B-9397-08002B2CF9AE}" pid="4" name="KSOTemplateDocerSaveRecord">
    <vt:lpwstr>eyJoZGlkIjoiZmNmM2Y3MTdkMmUxMzNmYmJkMWE3ZGExZDEyZmYzMDEiLCJ1c2VySWQiOiI0NTM1MDUxNDkifQ==</vt:lpwstr>
  </property>
</Properties>
</file>