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20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78" w:lineRule="exact"/>
        <w:textAlignment w:val="auto"/>
        <w:outlineLvl w:val="0"/>
        <w:rPr>
          <w:rFonts w:hint="eastAsia" w:ascii="宋体" w:hAnsi="宋体" w:eastAsia="宋体" w:cs="宋体"/>
          <w:sz w:val="32"/>
          <w:szCs w:val="32"/>
        </w:rPr>
      </w:pPr>
    </w:p>
    <w:p w14:paraId="13235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jc w:val="center"/>
        <w:textAlignment w:val="center"/>
        <w:rPr>
          <w:rFonts w:hint="default" w:ascii="宋体" w:hAnsi="宋体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方正小标宋_GBK" w:cs="方正小标宋_GBK"/>
          <w:color w:val="000000"/>
          <w:kern w:val="0"/>
          <w:sz w:val="44"/>
          <w:szCs w:val="44"/>
          <w:lang w:bidi="ar"/>
        </w:rPr>
        <w:t>《云南省林业和草原保护利用“十五五”规划</w:t>
      </w:r>
      <w:r>
        <w:rPr>
          <w:rFonts w:hint="eastAsia" w:ascii="宋体" w:hAnsi="宋体" w:eastAsia="方正小标宋_GBK" w:cs="方正小标宋_GBK"/>
          <w:color w:val="000000"/>
          <w:kern w:val="0"/>
          <w:sz w:val="44"/>
          <w:szCs w:val="44"/>
          <w:lang w:eastAsia="zh-CN" w:bidi="ar"/>
        </w:rPr>
        <w:t>（</w:t>
      </w:r>
      <w:r>
        <w:rPr>
          <w:rFonts w:hint="eastAsia" w:ascii="宋体" w:hAnsi="宋体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公开征求意见稿</w:t>
      </w:r>
      <w:r>
        <w:rPr>
          <w:rFonts w:hint="eastAsia" w:ascii="宋体" w:hAnsi="宋体" w:eastAsia="方正小标宋_GBK" w:cs="方正小标宋_GBK"/>
          <w:color w:val="000000"/>
          <w:kern w:val="0"/>
          <w:sz w:val="44"/>
          <w:szCs w:val="44"/>
          <w:lang w:eastAsia="zh-CN" w:bidi="ar"/>
        </w:rPr>
        <w:t>）</w:t>
      </w:r>
      <w:r>
        <w:rPr>
          <w:rFonts w:hint="eastAsia" w:ascii="宋体" w:hAnsi="宋体" w:eastAsia="方正小标宋_GBK" w:cs="方正小标宋_GBK"/>
          <w:color w:val="000000"/>
          <w:kern w:val="0"/>
          <w:sz w:val="44"/>
          <w:szCs w:val="44"/>
          <w:lang w:bidi="ar"/>
        </w:rPr>
        <w:t>》</w:t>
      </w:r>
      <w:r>
        <w:rPr>
          <w:rFonts w:hint="eastAsia" w:ascii="宋体" w:hAnsi="宋体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编制说明</w:t>
      </w:r>
    </w:p>
    <w:p w14:paraId="7812818F">
      <w:pPr>
        <w:pStyle w:val="2"/>
        <w:spacing w:beforeLines="0" w:afterLines="0" w:line="578" w:lineRule="exact"/>
        <w:ind w:firstLine="632" w:firstLineChars="200"/>
        <w:rPr>
          <w:rFonts w:hint="eastAsia" w:ascii="宋体" w:hAnsi="宋体"/>
          <w:sz w:val="32"/>
          <w:szCs w:val="32"/>
        </w:rPr>
      </w:pPr>
    </w:p>
    <w:p w14:paraId="4BA4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jc w:val="both"/>
        <w:textAlignment w:val="auto"/>
        <w:outlineLvl w:val="0"/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  <w:t>一、编制背景</w:t>
      </w:r>
    </w:p>
    <w:p w14:paraId="5D4C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2024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月，国家林草局组织召开全国林业草原“十五五”规划编制工作视频会议，部署安排了林草“十五五”规划编制工作，省林草局成立了规划编制领导小组，启</w:t>
      </w:r>
      <w:bookmarkStart w:id="0" w:name="_GoBack"/>
      <w:bookmarkEnd w:id="0"/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动了《云南省林业和草原保护利用“十五五”规划》（以下简称《规划》）编制工作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"/>
        </w:rPr>
        <w:t>。</w:t>
      </w:r>
    </w:p>
    <w:p w14:paraId="74C25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jc w:val="both"/>
        <w:textAlignment w:val="auto"/>
        <w:outlineLvl w:val="0"/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  <w:t>二、编制</w:t>
      </w: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val="en-US" w:eastAsia="zh-CN" w:bidi="ar"/>
        </w:rPr>
        <w:t>原则及</w:t>
      </w: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  <w:t>依据</w:t>
      </w:r>
    </w:p>
    <w:p w14:paraId="75345D23">
      <w:pPr>
        <w:spacing w:beforeLines="0" w:afterLines="0" w:line="578" w:lineRule="exact"/>
        <w:ind w:firstLine="632" w:firstLineChars="200"/>
        <w:outlineLvl w:val="1"/>
        <w:rPr>
          <w:rFonts w:hint="eastAsia" w:ascii="宋体" w:hAnsi="宋体" w:eastAsia="方正楷体_GBK" w:cs="方正楷体_GBK"/>
          <w:kern w:val="0"/>
          <w:sz w:val="32"/>
          <w:szCs w:val="32"/>
        </w:rPr>
      </w:pPr>
      <w:r>
        <w:rPr>
          <w:rFonts w:hint="eastAsia" w:ascii="宋体" w:hAnsi="宋体" w:eastAsia="方正楷体_GBK" w:cs="方正楷体_GBK"/>
          <w:kern w:val="0"/>
          <w:sz w:val="32"/>
          <w:szCs w:val="32"/>
        </w:rPr>
        <w:t>（一）编制原则</w:t>
      </w:r>
    </w:p>
    <w:p w14:paraId="3350A424">
      <w:pPr>
        <w:pStyle w:val="6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left="0" w:leftChars="0" w:firstLine="632" w:firstLineChars="20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仿宋_GBK" w:cs="方正仿宋_GBK"/>
          <w:b/>
          <w:bCs/>
          <w:color w:val="auto"/>
          <w:sz w:val="32"/>
          <w:szCs w:val="32"/>
          <w:lang w:val="en-US" w:eastAsia="zh-CN"/>
        </w:rPr>
        <w:t>.准确把握“一个重要历史新阶段”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。即</w:t>
      </w:r>
      <w:r>
        <w:rPr>
          <w:rFonts w:hint="eastAsia" w:ascii="宋体" w:hAnsi="宋体" w:eastAsia="方正仿宋_GBK"/>
          <w:sz w:val="32"/>
          <w:szCs w:val="32"/>
        </w:rPr>
        <w:t>“十五五”时期林草事业进入了高水平保护和高质量发展有机统一的新阶段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 w14:paraId="133B4ED2">
      <w:pPr>
        <w:pStyle w:val="6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left="0" w:leftChars="0" w:firstLine="632" w:firstLineChars="200"/>
        <w:textAlignment w:val="auto"/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b/>
          <w:bCs/>
          <w:color w:val="auto"/>
          <w:sz w:val="32"/>
          <w:szCs w:val="32"/>
          <w:lang w:val="en-US" w:eastAsia="zh-CN"/>
        </w:rPr>
        <w:t>.做到“三个全面贯彻”</w:t>
      </w:r>
      <w:r>
        <w:rPr>
          <w:rFonts w:hint="eastAsia" w:ascii="宋体" w:hAnsi="宋体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第一，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全面贯彻落实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习近平生态文明思想，树立和践行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绿水青山就是金山银山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理念，坚持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山水林田湖草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沙一体化保护和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系统治理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，坚持“三绿”并举，“四库”联动，更加注重提质兴业利民。第二，全面贯彻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习近平总书记考察云南重要讲话精神，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围绕争当我国生态文明建设排头兵、筑牢我国西南生态安全屏障，结合云南实际，科学设定规划目标，因地制宜部署规划任务。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第三，全面贯彻落实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省委“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3815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”战略发展目标及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系列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重大战略决策部署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08DCCB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cs="方正仿宋_GBK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方正仿宋_GBK"/>
          <w:b/>
          <w:bCs/>
          <w:color w:val="auto"/>
          <w:sz w:val="32"/>
          <w:szCs w:val="32"/>
          <w:lang w:val="en-US" w:eastAsia="zh-CN"/>
        </w:rPr>
        <w:t>做到“四个全面衔接”</w:t>
      </w:r>
      <w:r>
        <w:rPr>
          <w:rFonts w:hint="default" w:ascii="宋体" w:hAnsi="宋体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第一，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与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《中华人民共和国国民经济和社会发展第十五个五年规划纲要》、《云南省国民经济和社会发展第十五个五年规划纲要》等紧密衔接，确保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《规划》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发展重点、发展理念与国家和省相协同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第二，与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国家《林业草原保护利用“十五五”规划》紧密衔接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，确保规划目标任务与国家规划相贯通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第三，落实主体功能区战略，与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《云南省国土空间规划（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—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2035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）》、正在编制的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《云南省耕地保护和国土绿化空间专项规划》等紧密衔接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确保林草空间布局、项目布局等与国土空间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功能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定位保持一致。第四，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与国家重大战略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及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省委、省政府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重大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决策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部署紧密衔接。重点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与长江经济带、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一带一路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、西部大开发、乡村振兴等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国家重大战略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衔接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与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一体推进“三大经济”、建设美丽云南等</w:t>
      </w:r>
      <w:r>
        <w:rPr>
          <w:rFonts w:hint="eastAsia" w:ascii="宋体" w:hAnsi="宋体" w:cs="Times New Roman"/>
          <w:b w:val="0"/>
          <w:bCs w:val="0"/>
          <w:color w:val="auto"/>
          <w:sz w:val="32"/>
          <w:szCs w:val="32"/>
          <w:lang w:val="en-US" w:eastAsia="zh-CN"/>
        </w:rPr>
        <w:t>省委、省政府重大决策部署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衔接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6B1D061C">
      <w:pPr>
        <w:spacing w:beforeLines="0" w:afterLines="0" w:line="578" w:lineRule="exact"/>
        <w:ind w:firstLine="632" w:firstLineChars="200"/>
        <w:outlineLvl w:val="1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eastAsia="方正楷体_GBK" w:cs="方正楷体_GBK"/>
          <w:kern w:val="0"/>
          <w:sz w:val="32"/>
          <w:szCs w:val="32"/>
        </w:rPr>
        <w:t>（二）编制主要依据</w:t>
      </w:r>
    </w:p>
    <w:p w14:paraId="62457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outlineLvl w:val="9"/>
        <w:rPr>
          <w:rFonts w:hint="default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楷体_GBK" w:cs="方正楷体_GBK"/>
          <w:kern w:val="0"/>
          <w:sz w:val="32"/>
          <w:szCs w:val="32"/>
          <w:lang w:val="en-US" w:eastAsia="zh-CN"/>
        </w:rPr>
        <w:t>.</w:t>
      </w:r>
      <w:r>
        <w:rPr>
          <w:rFonts w:hint="default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《中华人民共和国森林法》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2019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方正仿宋_GBK"/>
          <w:sz w:val="32"/>
          <w:szCs w:val="32"/>
        </w:rPr>
        <w:t>修订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；</w:t>
      </w:r>
    </w:p>
    <w:p w14:paraId="3CE910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outlineLvl w:val="9"/>
        <w:rPr>
          <w:rFonts w:hint="eastAsia" w:ascii="宋体" w:hAnsi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宋体" w:hAnsi="宋体" w:cs="Times New Roman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《中华人民共和国草原法》</w:t>
      </w:r>
      <w:r>
        <w:rPr>
          <w:rFonts w:hint="eastAsia" w:ascii="宋体" w:hAnsi="宋体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2021</w:t>
      </w:r>
      <w:r>
        <w:rPr>
          <w:rFonts w:hint="eastAsia" w:ascii="宋体" w:hAnsi="宋体" w:cs="Times New Roman"/>
          <w:b w:val="0"/>
          <w:bCs w:val="0"/>
          <w:sz w:val="32"/>
          <w:szCs w:val="32"/>
          <w:lang w:val="en-US" w:eastAsia="zh-CN"/>
        </w:rPr>
        <w:t>年修订）；</w:t>
      </w:r>
    </w:p>
    <w:p w14:paraId="06D91D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outlineLvl w:val="9"/>
        <w:rPr>
          <w:rFonts w:hint="default" w:ascii="宋体" w:hAnsi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宋体" w:cs="Times New Roman"/>
          <w:b w:val="0"/>
          <w:bCs w:val="0"/>
          <w:sz w:val="32"/>
          <w:szCs w:val="32"/>
          <w:lang w:val="en-US" w:eastAsia="zh-CN"/>
        </w:rPr>
        <w:t>.《中华人民共和国湿地保护法》（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2021</w:t>
      </w:r>
      <w:r>
        <w:rPr>
          <w:rFonts w:hint="eastAsia" w:ascii="宋体" w:hAnsi="宋体" w:cs="Times New Roman"/>
          <w:b w:val="0"/>
          <w:bCs w:val="0"/>
          <w:sz w:val="32"/>
          <w:szCs w:val="32"/>
          <w:lang w:val="en-US" w:eastAsia="zh-CN"/>
        </w:rPr>
        <w:t>年颁布）；</w:t>
      </w:r>
    </w:p>
    <w:p w14:paraId="2AF501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outlineLvl w:val="9"/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《中华人民共和国野生动物保护法》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2022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年修订）；</w:t>
      </w:r>
    </w:p>
    <w:p w14:paraId="5C750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outlineLvl w:val="9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《中华人民共和国自然保护区条例》（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年修订）；</w:t>
      </w:r>
    </w:p>
    <w:p w14:paraId="66D11B9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ascii="宋体" w:hAnsi="宋体"/>
          <w:spacing w:val="-1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spacing w:val="-1"/>
          <w:sz w:val="32"/>
          <w:szCs w:val="32"/>
          <w:lang w:eastAsia="zh-CN"/>
        </w:rPr>
        <w:t>.</w:t>
      </w:r>
      <w:r>
        <w:rPr>
          <w:rFonts w:ascii="宋体" w:hAnsi="宋体"/>
          <w:spacing w:val="-1"/>
          <w:sz w:val="32"/>
          <w:szCs w:val="32"/>
          <w:lang w:eastAsia="zh-CN"/>
        </w:rPr>
        <w:t>《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林业草原保护利用“十五五”规划</w:t>
      </w:r>
      <w:r>
        <w:rPr>
          <w:rFonts w:ascii="宋体" w:hAnsi="宋体"/>
          <w:spacing w:val="-1"/>
          <w:sz w:val="32"/>
          <w:szCs w:val="32"/>
          <w:lang w:eastAsia="zh-CN"/>
        </w:rPr>
        <w:t>》；</w:t>
      </w:r>
    </w:p>
    <w:p w14:paraId="7E7DB3C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eastAsia" w:ascii="宋体" w:hAnsi="宋体"/>
          <w:spacing w:val="-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.《全国林草生态重点基础设施“十五五”建设方案》；</w:t>
      </w:r>
    </w:p>
    <w:p w14:paraId="55DE5D7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eastAsia" w:ascii="宋体" w:hAnsi="宋体"/>
          <w:spacing w:val="-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8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.</w:t>
      </w:r>
      <w:r>
        <w:rPr>
          <w:rFonts w:hint="default" w:ascii="宋体" w:hAnsi="宋体"/>
          <w:spacing w:val="-1"/>
          <w:sz w:val="32"/>
          <w:szCs w:val="32"/>
          <w:lang w:val="en-US" w:eastAsia="zh-CN"/>
        </w:rPr>
        <w:t>《全国野生动植物保护工程建设方案(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2023</w:t>
      </w:r>
      <w:r>
        <w:rPr>
          <w:rFonts w:hint="default" w:ascii="宋体" w:hAnsi="宋体"/>
          <w:spacing w:val="-1"/>
          <w:sz w:val="32"/>
          <w:szCs w:val="32"/>
          <w:lang w:val="en-US" w:eastAsia="zh-CN"/>
        </w:rPr>
        <w:t>—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2030</w:t>
      </w:r>
      <w:r>
        <w:rPr>
          <w:rFonts w:hint="default" w:ascii="宋体" w:hAnsi="宋体"/>
          <w:spacing w:val="-1"/>
          <w:sz w:val="32"/>
          <w:szCs w:val="32"/>
          <w:lang w:val="en-US" w:eastAsia="zh-CN"/>
        </w:rPr>
        <w:t>年)》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；</w:t>
      </w:r>
    </w:p>
    <w:p w14:paraId="1DDF4BC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eastAsia" w:ascii="宋体" w:hAnsi="宋体"/>
          <w:spacing w:val="-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9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.</w:t>
      </w:r>
      <w:r>
        <w:rPr>
          <w:rFonts w:hint="default" w:ascii="宋体" w:hAnsi="宋体"/>
          <w:spacing w:val="-1"/>
          <w:sz w:val="32"/>
          <w:szCs w:val="32"/>
          <w:lang w:val="en-US" w:eastAsia="zh-CN"/>
        </w:rPr>
        <w:t>《候鸟迁飞通道保护修复中国行动计划(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2024</w:t>
      </w:r>
      <w:r>
        <w:rPr>
          <w:rFonts w:hint="default" w:ascii="宋体" w:hAnsi="宋体"/>
          <w:spacing w:val="-1"/>
          <w:sz w:val="32"/>
          <w:szCs w:val="32"/>
          <w:lang w:val="en-US" w:eastAsia="zh-CN"/>
        </w:rPr>
        <w:t>—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2030</w:t>
      </w:r>
      <w:r>
        <w:rPr>
          <w:rFonts w:hint="default" w:ascii="宋体" w:hAnsi="宋体"/>
          <w:spacing w:val="-1"/>
          <w:sz w:val="32"/>
          <w:szCs w:val="32"/>
          <w:lang w:val="en-US" w:eastAsia="zh-CN"/>
        </w:rPr>
        <w:t>年)》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；</w:t>
      </w:r>
    </w:p>
    <w:p w14:paraId="0D669BF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default" w:ascii="宋体" w:hAnsi="宋体"/>
          <w:spacing w:val="-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10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.《国家林业和草原局关于促进林下经济发展的若干措施》；</w:t>
      </w:r>
    </w:p>
    <w:p w14:paraId="137407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eastAsia" w:ascii="宋体" w:hAnsi="宋体"/>
          <w:spacing w:val="-1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11</w:t>
      </w:r>
      <w:r>
        <w:rPr>
          <w:rFonts w:hint="eastAsia" w:ascii="宋体" w:hAnsi="宋体"/>
          <w:spacing w:val="-1"/>
          <w:sz w:val="32"/>
          <w:szCs w:val="32"/>
          <w:lang w:eastAsia="zh-CN"/>
        </w:rPr>
        <w:t>.《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云南省国民经济和社会发展第十五个五年规划纲要</w:t>
      </w:r>
      <w:r>
        <w:rPr>
          <w:rFonts w:hint="eastAsia" w:ascii="宋体" w:hAnsi="宋体"/>
          <w:spacing w:val="-1"/>
          <w:sz w:val="32"/>
          <w:szCs w:val="32"/>
          <w:lang w:eastAsia="zh-CN"/>
        </w:rPr>
        <w:t>》</w:t>
      </w:r>
      <w:r>
        <w:rPr>
          <w:rFonts w:ascii="宋体" w:hAnsi="宋体"/>
          <w:spacing w:val="-1"/>
          <w:sz w:val="32"/>
          <w:szCs w:val="32"/>
          <w:lang w:eastAsia="zh-CN"/>
        </w:rPr>
        <w:t>；</w:t>
      </w:r>
    </w:p>
    <w:p w14:paraId="61D8421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eastAsia" w:ascii="宋体" w:hAnsi="宋体"/>
          <w:spacing w:val="-1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12</w:t>
      </w:r>
      <w:r>
        <w:rPr>
          <w:rFonts w:hint="eastAsia" w:ascii="宋体" w:hAnsi="宋体"/>
          <w:spacing w:val="-1"/>
          <w:sz w:val="32"/>
          <w:szCs w:val="32"/>
          <w:lang w:eastAsia="zh-CN"/>
        </w:rPr>
        <w:t>.《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云南省国土空间规划（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2021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—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2035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）</w:t>
      </w:r>
      <w:r>
        <w:rPr>
          <w:rFonts w:hint="eastAsia" w:ascii="宋体" w:hAnsi="宋体"/>
          <w:spacing w:val="-1"/>
          <w:sz w:val="32"/>
          <w:szCs w:val="32"/>
          <w:lang w:eastAsia="zh-CN"/>
        </w:rPr>
        <w:t>》；</w:t>
      </w:r>
    </w:p>
    <w:p w14:paraId="48C543D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28" w:firstLineChars="200"/>
        <w:textAlignment w:val="auto"/>
        <w:outlineLvl w:val="9"/>
        <w:rPr>
          <w:rFonts w:hint="default" w:ascii="宋体" w:hAnsi="宋体"/>
          <w:spacing w:val="-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>13</w:t>
      </w:r>
      <w:r>
        <w:rPr>
          <w:rFonts w:hint="eastAsia" w:ascii="宋体" w:hAnsi="宋体"/>
          <w:spacing w:val="-1"/>
          <w:sz w:val="32"/>
          <w:szCs w:val="32"/>
          <w:lang w:val="en-US" w:eastAsia="zh-CN"/>
        </w:rPr>
        <w:t>.其他法律、法规、规划文件。</w:t>
      </w:r>
    </w:p>
    <w:p w14:paraId="42EC2B85">
      <w:pPr>
        <w:widowControl w:val="0"/>
        <w:spacing w:beforeLines="0" w:afterLines="0" w:line="578" w:lineRule="exact"/>
        <w:ind w:firstLine="632" w:firstLineChars="200"/>
        <w:jc w:val="both"/>
        <w:outlineLvl w:val="0"/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  <w:t>三、编制过程</w:t>
      </w:r>
    </w:p>
    <w:p w14:paraId="396E61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firstLine="632" w:firstLineChars="200"/>
        <w:textAlignment w:val="auto"/>
        <w:rPr>
          <w:rFonts w:hint="default" w:ascii="宋体" w:hAnsi="宋体"/>
          <w:spacing w:val="-5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2024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—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月，完成</w:t>
      </w:r>
      <w:r>
        <w:rPr>
          <w:rFonts w:hint="eastAsia" w:ascii="宋体" w:hAnsi="宋体" w:cs="Times New Roman"/>
          <w:b w:val="0"/>
          <w:bCs w:val="0"/>
          <w:kern w:val="2"/>
          <w:sz w:val="32"/>
          <w:szCs w:val="32"/>
          <w:lang w:val="en-US" w:eastAsia="zh-CN" w:bidi="ar"/>
        </w:rPr>
        <w:t>规划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前期研究，形成基本思路。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—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月，开展“十四五”规划总结评估，拟定“十五五”规划大纲。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月，形成规划框架。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"/>
        </w:rPr>
        <w:t>11</w:t>
      </w:r>
      <w:r>
        <w:rPr>
          <w:rFonts w:hint="eastAsia" w:ascii="宋体" w:hAnsi="宋体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月，形成规划初稿。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月，形成征求意见稿，完成局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机关有关处室、局属有关单位、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各州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（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市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）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林草局和省直有关部门意见征求。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日，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召开专家论证会并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通过论证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，并于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17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日报送国家林草局征求意见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"/>
        </w:rPr>
        <w:t>修改完善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"/>
        </w:rPr>
        <w:t>后报送省发展改革委开展宏观政策一致性评估，评估结果认为《规划》“符合党中央、国务院关于推进林草高水平保护和高质量发展的需求，对经济总量和结构、供给和需求、民生保障及社会预期无收缩性抑制性影响”。</w:t>
      </w:r>
    </w:p>
    <w:p w14:paraId="09F8235B">
      <w:pPr>
        <w:widowControl w:val="0"/>
        <w:spacing w:beforeLines="0" w:afterLines="0" w:line="578" w:lineRule="exact"/>
        <w:ind w:firstLine="632" w:firstLineChars="200"/>
        <w:jc w:val="both"/>
        <w:outlineLvl w:val="0"/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  <w:t>四、主要内容说明</w:t>
      </w:r>
    </w:p>
    <w:p w14:paraId="47B58DC0">
      <w:pPr>
        <w:spacing w:beforeLines="0" w:afterLines="0" w:line="578" w:lineRule="exact"/>
        <w:ind w:firstLine="632" w:firstLineChars="200"/>
        <w:outlineLvl w:val="1"/>
        <w:rPr>
          <w:rFonts w:hint="default" w:ascii="宋体" w:hAnsi="宋体" w:eastAsia="方正楷体_GBK" w:cs="方正楷体_GBK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kern w:val="0"/>
          <w:sz w:val="32"/>
          <w:szCs w:val="32"/>
        </w:rPr>
        <w:t>（一）</w:t>
      </w:r>
      <w:r>
        <w:rPr>
          <w:rFonts w:hint="eastAsia" w:ascii="宋体" w:hAnsi="宋体" w:eastAsia="方正楷体_GBK" w:cs="方正楷体_GBK"/>
          <w:kern w:val="0"/>
          <w:sz w:val="32"/>
          <w:szCs w:val="32"/>
          <w:lang w:val="en-US" w:eastAsia="zh-CN"/>
        </w:rPr>
        <w:t>框架结构</w:t>
      </w:r>
    </w:p>
    <w:p w14:paraId="0B8A5EBC">
      <w:pPr>
        <w:spacing w:beforeLines="0" w:afterLines="0" w:line="578" w:lineRule="exact"/>
        <w:ind w:firstLine="632" w:firstLineChars="200"/>
        <w:outlineLvl w:val="9"/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《规划》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框架共分三个板块。</w:t>
      </w:r>
      <w:r>
        <w:rPr>
          <w:rFonts w:hint="eastAsia" w:ascii="宋体" w:hAnsi="宋体" w:eastAsia="方正仿宋_GBK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第一个板块，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提出“十五五”时期云南省林草保护利用总体要求。</w:t>
      </w:r>
      <w:r>
        <w:rPr>
          <w:rFonts w:hint="eastAsia" w:ascii="宋体" w:hAnsi="宋体" w:eastAsia="方正仿宋_GBK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第二个板块，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谋划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筑牢西南生态安全屏障、维育生物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多样性宝库、培育壮大林草产业、守牢林草生态安全底线、深化重点领域改革、强化科技创新赋能、完善林草支撑体系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等7大主要任务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宋体" w:hAnsi="宋体" w:eastAsia="方正仿宋_GBK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第三个板块，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规划实施保障。</w:t>
      </w:r>
    </w:p>
    <w:p w14:paraId="4DAB19A1">
      <w:pPr>
        <w:spacing w:beforeLines="0" w:afterLines="0" w:line="578" w:lineRule="exact"/>
        <w:ind w:firstLine="632" w:firstLineChars="200"/>
        <w:outlineLvl w:val="1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kern w:val="0"/>
          <w:sz w:val="32"/>
          <w:szCs w:val="32"/>
          <w:lang w:val="en-US" w:eastAsia="zh-CN"/>
        </w:rPr>
        <w:t>（二）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关于规划指标</w:t>
      </w:r>
    </w:p>
    <w:p w14:paraId="2748B5FE">
      <w:pPr>
        <w:spacing w:beforeLines="0" w:afterLines="0" w:line="578" w:lineRule="exact"/>
        <w:ind w:firstLine="632" w:firstLineChars="200"/>
        <w:outlineLvl w:val="9"/>
        <w:rPr>
          <w:rFonts w:hint="eastAsia" w:ascii="宋体" w:hAnsi="宋体" w:eastAsia="方正楷体_GBK" w:cs="方正楷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规划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指标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设定承接上位规划。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国家林草“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十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eastAsia="zh-CN"/>
        </w:rPr>
        <w:t>规划中主要指标共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项，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个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约束性指标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个预期性指标，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分别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为林草覆盖率、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森林覆盖率、森林蓄积量、森林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/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草原火灾受害率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草原综合植被盖度、国家公园等自然保护地面积占比、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林草产业总产值。</w:t>
      </w:r>
      <w:r>
        <w:rPr>
          <w:rFonts w:hint="default" w:ascii="宋体" w:hAnsi="宋体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按照顺承原则，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《规划》</w:t>
      </w:r>
      <w:r>
        <w:rPr>
          <w:rFonts w:hint="default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指标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拟定</w:t>
      </w:r>
      <w:r>
        <w:rPr>
          <w:rFonts w:hint="default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default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项，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个</w:t>
      </w:r>
      <w:r>
        <w:rPr>
          <w:rFonts w:hint="default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约束性指标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个预期性指标，指标选取与国家保持一致</w:t>
      </w:r>
      <w:r>
        <w:rPr>
          <w:rFonts w:hint="default" w:ascii="宋体" w:hAnsi="宋体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 w14:paraId="52A60D0F">
      <w:pPr>
        <w:pStyle w:val="6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1"/>
        <w:rPr>
          <w:rFonts w:hint="eastAsia" w:ascii="宋体" w:hAnsi="宋体" w:eastAsia="方正楷体_GBK" w:cs="方正楷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highlight w:val="none"/>
          <w:lang w:val="en-US" w:eastAsia="zh-CN"/>
        </w:rPr>
        <w:t>（三）关于发展布局</w:t>
      </w:r>
    </w:p>
    <w:p w14:paraId="7EC6E115">
      <w:pPr>
        <w:pStyle w:val="6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9"/>
        <w:rPr>
          <w:rFonts w:hint="default" w:ascii="宋体" w:hAnsi="宋体" w:eastAsia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按照国家林草局要求，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规划</w:t>
      </w:r>
      <w:r>
        <w:rPr>
          <w:rFonts w:hint="default" w:ascii="宋体" w:hAnsi="宋体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提出了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“十五五”时期林草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空间布局和产业发展布局</w:t>
      </w:r>
      <w:r>
        <w:rPr>
          <w:rFonts w:hint="eastAsia" w:ascii="宋体" w:hAnsi="宋体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宋体" w:hAnsi="宋体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空间布局</w:t>
      </w: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以“一张图”为底版，依据生态本底、资源禀赋和自然地理格局，提出严格保护空间、重点治理空间、合理利用空间。</w:t>
      </w:r>
      <w:r>
        <w:rPr>
          <w:rFonts w:hint="eastAsia" w:ascii="宋体" w:hAnsi="宋体" w:eastAsia="方正仿宋_GBK"/>
          <w:b w:val="0"/>
          <w:bCs w:val="0"/>
          <w:sz w:val="32"/>
          <w:szCs w:val="32"/>
          <w:highlight w:val="none"/>
          <w:lang w:val="en-US" w:eastAsia="zh-CN"/>
        </w:rPr>
        <w:t>产业发展布局则根据各地资源禀赋，发展基础，特别是对重点产业产值进行分析对比后，确定各州（市）产业发展重点。</w:t>
      </w:r>
    </w:p>
    <w:p w14:paraId="35A5F6C3">
      <w:pPr>
        <w:pStyle w:val="6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1"/>
        <w:rPr>
          <w:rFonts w:hint="eastAsia" w:ascii="宋体" w:hAnsi="宋体" w:eastAsia="方正楷体_GBK" w:cs="方正楷体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楷体_GBK" w:cs="方正楷体_GBK"/>
          <w:sz w:val="32"/>
          <w:szCs w:val="32"/>
          <w:highlight w:val="none"/>
          <w:lang w:val="en-US" w:eastAsia="zh-CN"/>
        </w:rPr>
        <w:t>（四）关于主要任务</w:t>
      </w:r>
    </w:p>
    <w:p w14:paraId="53CFF0A2">
      <w:pPr>
        <w:pStyle w:val="6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9"/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  <w:t>坚持问题导向和目标导向，聚焦“十四五”规划评估中存在问题，围绕“十五五”规划主要目标，《规划》</w:t>
      </w:r>
      <w:r>
        <w:rPr>
          <w:rFonts w:hint="default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  <w:t>提出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  <w:t>项主要</w:t>
      </w:r>
      <w:r>
        <w:rPr>
          <w:rFonts w:hint="default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  <w:t>任务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紧扣发展目标，既与“十四五”相承接，又有新的考量，</w:t>
      </w:r>
      <w:r>
        <w:rPr>
          <w:rFonts w:hint="eastAsia" w:ascii="宋体" w:hAnsi="宋体" w:eastAsia="方正仿宋_GBK" w:cs="Times New Roman"/>
          <w:b w:val="0"/>
          <w:bCs w:val="0"/>
          <w:sz w:val="32"/>
          <w:szCs w:val="32"/>
          <w:lang w:val="en-US" w:eastAsia="zh-CN"/>
        </w:rPr>
        <w:t>特别把培育壮大林草产业、强化科技创新赋能摆到更加突出的位置。</w:t>
      </w:r>
    </w:p>
    <w:p w14:paraId="36AC0112">
      <w:pPr>
        <w:pStyle w:val="6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1"/>
        <w:rPr>
          <w:rFonts w:hint="default" w:ascii="宋体" w:hAnsi="宋体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lang w:val="en-US" w:eastAsia="zh-CN"/>
        </w:rPr>
        <w:t>（五）</w:t>
      </w:r>
      <w:r>
        <w:rPr>
          <w:rFonts w:hint="default" w:ascii="宋体" w:hAnsi="宋体" w:eastAsia="方正楷体_GBK" w:cs="方正楷体_GBK"/>
          <w:b w:val="0"/>
          <w:bCs w:val="0"/>
          <w:sz w:val="32"/>
          <w:szCs w:val="32"/>
          <w:lang w:val="en-US" w:eastAsia="zh-CN"/>
        </w:rPr>
        <w:t>关于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lang w:val="en-US" w:eastAsia="zh-CN"/>
        </w:rPr>
        <w:t>项目及具体任务</w:t>
      </w:r>
    </w:p>
    <w:p w14:paraId="48EB642A">
      <w:pPr>
        <w:pStyle w:val="6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9"/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坚持项目跟着规划走，资金和要素跟着项目走，强化规划执行力、约束力，《规划》在确定项目及任务量设定时主要遵循以下匹配原则：第一，与国土绿化空间数据相匹配。第二，与国家资金盘子相匹配，主要是与国家“十四五”期间投资规模量相衔接，防止出现重大项目任务量规划过大或过小的问题。第三，与州（市）级需求相匹配，州（市）级“十五五”时期重大项目需求量与省级规划任务量是大于等于关系，确保州（市）级需求量能托住省级重大项目任务量。</w:t>
      </w:r>
    </w:p>
    <w:p w14:paraId="0FE540FD">
      <w:pPr>
        <w:pStyle w:val="6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1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（六）关于重点产业</w:t>
      </w:r>
    </w:p>
    <w:p w14:paraId="28F489FC">
      <w:pPr>
        <w:pStyle w:val="6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78" w:lineRule="exact"/>
        <w:ind w:right="0" w:rightChars="0" w:firstLine="632" w:firstLineChars="200"/>
        <w:textAlignment w:val="auto"/>
        <w:outlineLvl w:val="9"/>
        <w:rPr>
          <w:rFonts w:hint="eastAsia" w:ascii="宋体" w:hAnsi="宋体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依据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年全省林草产业发展大会暨省总林长会议精神及林草产业统计实际，确定全省“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”林草产业体系。“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”即发展四大重点产业，包括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林下经济（含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</w:rPr>
        <w:t>生态旅游与森林康养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）、坚果及特色经济林、木竹加工和林浆纸、苗木花卉产业</w:t>
      </w: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。“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宋体" w:hAnsi="宋体" w:eastAsia="方正仿宋_GBK" w:cs="Times New Roman"/>
          <w:sz w:val="32"/>
          <w:szCs w:val="32"/>
          <w:highlight w:val="none"/>
          <w:lang w:val="en-US" w:eastAsia="zh-CN"/>
        </w:rPr>
        <w:t>”即积极发展其他产业，包括</w:t>
      </w:r>
      <w:r>
        <w:rPr>
          <w:rFonts w:hint="eastAsia" w:ascii="宋体" w:hAnsi="宋体" w:eastAsia="方正仿宋_GBK" w:cs="方正仿宋_GBK"/>
          <w:bCs w:val="0"/>
          <w:color w:val="auto"/>
          <w:sz w:val="32"/>
          <w:szCs w:val="32"/>
          <w:highlight w:val="none"/>
          <w:lang w:val="en-US" w:eastAsia="zh-CN"/>
        </w:rPr>
        <w:t>草产业和林化工等。</w:t>
      </w:r>
    </w:p>
    <w:p w14:paraId="378DC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8" w:lineRule="exact"/>
        <w:ind w:firstLine="631"/>
        <w:jc w:val="both"/>
        <w:textAlignment w:val="auto"/>
        <w:rPr>
          <w:rFonts w:ascii="宋体" w:hAnsi="宋体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312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2467B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DED2AB">
                          <w:pPr>
                            <w:pStyle w:val="1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DED2AB">
                    <w:pPr>
                      <w:pStyle w:val="1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46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dit="readOnly"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03"/>
    <w:rsid w:val="005E2DFF"/>
    <w:rsid w:val="00771003"/>
    <w:rsid w:val="00800D50"/>
    <w:rsid w:val="008B31E6"/>
    <w:rsid w:val="00C346A8"/>
    <w:rsid w:val="00E50373"/>
    <w:rsid w:val="0FF55E80"/>
    <w:rsid w:val="1ACB4B9F"/>
    <w:rsid w:val="24EB2EC9"/>
    <w:rsid w:val="2ADBC87F"/>
    <w:rsid w:val="3DFF2EFA"/>
    <w:rsid w:val="3DFFE88E"/>
    <w:rsid w:val="42315851"/>
    <w:rsid w:val="42FA6CB8"/>
    <w:rsid w:val="44F20659"/>
    <w:rsid w:val="4BBD0ED9"/>
    <w:rsid w:val="542009B5"/>
    <w:rsid w:val="56FE69AC"/>
    <w:rsid w:val="6B340897"/>
    <w:rsid w:val="71E1699B"/>
    <w:rsid w:val="754469EC"/>
    <w:rsid w:val="766D4ACA"/>
    <w:rsid w:val="7E7E36FC"/>
    <w:rsid w:val="7EDBE290"/>
    <w:rsid w:val="7FB6B7E1"/>
    <w:rsid w:val="7FF96204"/>
    <w:rsid w:val="7FFF87F9"/>
    <w:rsid w:val="BB6A9CD7"/>
    <w:rsid w:val="CCAF09C6"/>
    <w:rsid w:val="EDEE768D"/>
    <w:rsid w:val="EFBBE530"/>
    <w:rsid w:val="F7F7DE6C"/>
    <w:rsid w:val="FBDCB89B"/>
    <w:rsid w:val="FC7E6554"/>
    <w:rsid w:val="FEE7B2F2"/>
    <w:rsid w:val="FF5E463F"/>
    <w:rsid w:val="FF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5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6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7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8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9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10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8"/>
    <w:basedOn w:val="1"/>
    <w:next w:val="1"/>
    <w:link w:val="29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heading 9"/>
    <w:basedOn w:val="1"/>
    <w:next w:val="1"/>
    <w:link w:val="30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方正仿宋_GBK" w:hAnsi="方正仿宋_GBK" w:eastAsia="方正仿宋_GBK" w:cs="方正仿宋_GBK"/>
      <w:sz w:val="30"/>
      <w:szCs w:val="30"/>
      <w:lang w:eastAsia="en-US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1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basedOn w:val="1"/>
    <w:next w:val="1"/>
    <w:link w:val="32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6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FollowedHyperlink"/>
    <w:basedOn w:val="19"/>
    <w:semiHidden/>
    <w:unhideWhenUsed/>
    <w:qFormat/>
    <w:uiPriority w:val="99"/>
    <w:rPr>
      <w:color w:val="800080"/>
      <w:u w:val="single"/>
    </w:rPr>
  </w:style>
  <w:style w:type="character" w:styleId="21">
    <w:name w:val="Hyperlink"/>
    <w:basedOn w:val="19"/>
    <w:semiHidden/>
    <w:unhideWhenUsed/>
    <w:qFormat/>
    <w:uiPriority w:val="99"/>
    <w:rPr>
      <w:color w:val="0000FF"/>
      <w:u w:val="single"/>
    </w:rPr>
  </w:style>
  <w:style w:type="character" w:customStyle="1" w:styleId="22">
    <w:name w:val="标题 1 字符"/>
    <w:basedOn w:val="19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9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9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9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9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9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6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4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2"/>
      <w:szCs w:val="22"/>
    </w:rPr>
  </w:style>
  <w:style w:type="paragraph" w:customStyle="1" w:styleId="4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2"/>
      <w:szCs w:val="22"/>
    </w:rPr>
  </w:style>
  <w:style w:type="paragraph" w:customStyle="1" w:styleId="4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5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46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4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0">
    <w:name w:val="xl6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5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7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5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6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61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2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6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64">
    <w:name w:val="xl8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65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66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67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68">
    <w:name w:val="Normal Indent1"/>
    <w:basedOn w:val="1"/>
    <w:qFormat/>
    <w:uiPriority w:val="99"/>
    <w:pPr>
      <w:ind w:firstLine="420" w:firstLineChars="200"/>
    </w:pPr>
  </w:style>
  <w:style w:type="paragraph" w:customStyle="1" w:styleId="69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2271</Words>
  <Characters>2361</Characters>
  <Lines>220</Lines>
  <Paragraphs>62</Paragraphs>
  <TotalTime>21</TotalTime>
  <ScaleCrop>false</ScaleCrop>
  <LinksUpToDate>false</LinksUpToDate>
  <CharactersWithSpaces>2361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2026-08-06T06:13:00Z</dcterms:created>
  <dc:creator>c58942</dc:creator>
  <cp:lastModifiedBy>ALin</cp:lastModifiedBy>
  <dcterms:modified xsi:type="dcterms:W3CDTF">2026-08-20T07:31:45Z</dcterms:modified>
  <dc:title>云南省林业和草原局关于商请开展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eyJoZGlkIjoiODBhMjdlOWEyZjE1YzEzNTY4ODBmM2YwY2M5MDZlMzciLCJ1c2VySWQiOiI0NzIwOTYxMjUifQ==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3F375C5891D19C6C061D846AEF690E16_43</vt:lpwstr>
  </property>
</Properties>
</file>