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宋体" w:hAnsi="宋体" w:eastAsia="方正小标宋_GBK" w:cs="方正小标宋_GBK"/>
          <w:snapToGrid/>
          <w:color w:val="auto"/>
          <w:spacing w:val="-6"/>
          <w:kern w:val="2"/>
          <w:sz w:val="44"/>
          <w:szCs w:val="44"/>
          <w:highlight w:val="none"/>
          <w:lang w:eastAsia="zh-CN"/>
        </w:rPr>
      </w:pPr>
      <w:bookmarkStart w:id="0" w:name="_Toc16382"/>
      <w:bookmarkStart w:id="1" w:name="_Toc8356"/>
      <w:bookmarkStart w:id="2" w:name="_Toc25052"/>
      <w:bookmarkStart w:id="3" w:name="_Toc10312"/>
      <w:bookmarkStart w:id="4" w:name="_Toc17039"/>
      <w:bookmarkStart w:id="5" w:name="_Toc19618"/>
      <w:bookmarkStart w:id="6" w:name="_Toc7324"/>
      <w:bookmarkStart w:id="7" w:name="_Toc20054"/>
      <w:bookmarkStart w:id="8" w:name="_Toc5047"/>
      <w:bookmarkStart w:id="9" w:name="_Toc29415"/>
      <w:bookmarkStart w:id="10" w:name="_Toc26143"/>
      <w:bookmarkStart w:id="11" w:name="_Toc32151"/>
      <w:bookmarkStart w:id="12" w:name="_Toc9746"/>
      <w:bookmarkStart w:id="13" w:name="_Toc19468"/>
      <w:bookmarkStart w:id="14" w:name="_Toc798"/>
      <w:bookmarkStart w:id="15" w:name="_Toc12325"/>
      <w:bookmarkStart w:id="16" w:name="_Toc22213"/>
      <w:bookmarkStart w:id="17" w:name="_Toc26581"/>
      <w:bookmarkStart w:id="18" w:name="_Toc22337"/>
      <w:bookmarkStart w:id="19" w:name="_Toc24624"/>
      <w:bookmarkStart w:id="20" w:name="_Toc15241"/>
      <w:bookmarkStart w:id="21" w:name="_Toc6801"/>
      <w:bookmarkStart w:id="22" w:name="_Toc19097"/>
      <w:bookmarkStart w:id="23" w:name="_Toc2611"/>
      <w:bookmarkStart w:id="24" w:name="_Toc19752"/>
      <w:bookmarkStart w:id="25" w:name="_Toc617"/>
      <w:bookmarkStart w:id="26" w:name="_Toc7486"/>
      <w:bookmarkStart w:id="27" w:name="_Toc25590"/>
      <w:r>
        <w:rPr>
          <w:rFonts w:ascii="宋体" w:hAnsi="宋体" w:eastAsia="方正小标宋_GBK" w:cs="方正小标宋_GBK"/>
          <w:snapToGrid/>
          <w:color w:val="auto"/>
          <w:spacing w:val="-6"/>
          <w:kern w:val="2"/>
          <w:sz w:val="44"/>
          <w:szCs w:val="44"/>
          <w:highlight w:val="none"/>
          <w:lang w:eastAsia="zh-CN"/>
        </w:rPr>
        <w:t>云南省天然林保护修复中长期规划</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keepNext w:val="0"/>
        <w:keepLines w:val="0"/>
        <w:pageBreakBefore w:val="0"/>
        <w:wordWrap/>
        <w:overflowPunct/>
        <w:topLinePunct w:val="0"/>
        <w:bidi w:val="0"/>
        <w:spacing w:line="580" w:lineRule="exact"/>
        <w:jc w:val="center"/>
        <w:outlineLvl w:val="9"/>
        <w:rPr>
          <w:rFonts w:hint="eastAsia" w:ascii="宋体" w:hAnsi="宋体" w:eastAsia="方正仿宋_GB2312" w:cs="方正仿宋_GB2312"/>
          <w:b/>
          <w:bCs w:val="0"/>
          <w:color w:val="auto"/>
          <w:sz w:val="44"/>
          <w:szCs w:val="44"/>
          <w:highlight w:val="none"/>
          <w:lang w:val="en-US" w:eastAsia="zh-CN"/>
        </w:rPr>
      </w:pPr>
    </w:p>
    <w:bookmarkEnd w:id="23"/>
    <w:bookmarkEnd w:id="24"/>
    <w:bookmarkEnd w:id="25"/>
    <w:bookmarkEnd w:id="26"/>
    <w:bookmarkEnd w:id="27"/>
    <w:p>
      <w:pPr>
        <w:pStyle w:val="3"/>
        <w:autoSpaceDE/>
        <w:autoSpaceDN/>
        <w:spacing w:line="578" w:lineRule="exact"/>
        <w:ind w:left="0" w:leftChars="0" w:firstLine="616" w:firstLineChars="200"/>
        <w:jc w:val="both"/>
        <w:rPr>
          <w:rFonts w:hint="eastAsia" w:ascii="宋体" w:hAnsi="宋体" w:eastAsia="方正仿宋_GBK" w:cs="方正仿宋_GBK"/>
          <w:lang w:eastAsia="zh-CN"/>
        </w:rPr>
      </w:pPr>
      <w:bookmarkStart w:id="28" w:name="_Toc787"/>
      <w:bookmarkStart w:id="29" w:name="_Toc14634"/>
      <w:bookmarkStart w:id="30" w:name="_Toc21555"/>
      <w:bookmarkStart w:id="31" w:name="_Toc28130"/>
      <w:bookmarkStart w:id="32" w:name="_Toc1650"/>
      <w:bookmarkStart w:id="33" w:name="_Toc26795"/>
      <w:bookmarkStart w:id="34" w:name="_Toc615"/>
      <w:bookmarkStart w:id="35" w:name="_Toc8631"/>
      <w:bookmarkStart w:id="36" w:name="_Toc1000"/>
      <w:bookmarkStart w:id="37" w:name="_Toc1020"/>
      <w:bookmarkStart w:id="38" w:name="_Toc7107"/>
      <w:bookmarkStart w:id="39" w:name="_Toc26963"/>
      <w:bookmarkStart w:id="40" w:name="_Toc17938"/>
      <w:bookmarkStart w:id="41" w:name="_Toc17691"/>
      <w:bookmarkStart w:id="42" w:name="_Toc19732"/>
      <w:bookmarkStart w:id="43" w:name="_Toc20823"/>
      <w:bookmarkStart w:id="44" w:name="_Toc28888"/>
      <w:bookmarkStart w:id="45" w:name="_Toc28423"/>
      <w:bookmarkStart w:id="46" w:name="_Toc6672"/>
      <w:bookmarkStart w:id="47" w:name="_Toc20562"/>
      <w:bookmarkStart w:id="48" w:name="_Toc23838"/>
      <w:bookmarkStart w:id="49" w:name="_Toc17997"/>
      <w:bookmarkStart w:id="50" w:name="_Toc2109"/>
      <w:bookmarkStart w:id="51" w:name="_Toc10942"/>
      <w:bookmarkStart w:id="52" w:name="_Toc17933"/>
      <w:bookmarkStart w:id="53" w:name="_Toc15892"/>
      <w:bookmarkStart w:id="54" w:name="_Toc15021"/>
      <w:bookmarkStart w:id="55" w:name="_Toc31922"/>
      <w:bookmarkStart w:id="56" w:name="_Toc10773"/>
      <w:bookmarkStart w:id="57" w:name="_Toc2638"/>
      <w:bookmarkStart w:id="58" w:name="_Toc4863"/>
      <w:bookmarkStart w:id="59" w:name="_Toc6732"/>
      <w:r>
        <w:rPr>
          <w:rFonts w:hint="eastAsia" w:ascii="宋体" w:hAnsi="宋体" w:eastAsia="方正仿宋_GBK" w:cs="方正仿宋_GBK"/>
          <w:color w:val="auto"/>
          <w:spacing w:val="-6"/>
          <w:sz w:val="32"/>
          <w:szCs w:val="32"/>
        </w:rPr>
        <w:t>为</w:t>
      </w:r>
      <w:r>
        <w:rPr>
          <w:rFonts w:hint="eastAsia" w:ascii="宋体" w:hAnsi="宋体" w:eastAsia="方正仿宋_GBK" w:cs="方正仿宋_GBK"/>
          <w:color w:val="auto"/>
          <w:spacing w:val="-6"/>
          <w:sz w:val="32"/>
          <w:szCs w:val="32"/>
          <w:lang w:eastAsia="zh-CN"/>
        </w:rPr>
        <w:t>推动天然林高水平保护、高质量发展，</w:t>
      </w:r>
      <w:r>
        <w:rPr>
          <w:rFonts w:hint="eastAsia" w:ascii="宋体" w:hAnsi="宋体" w:eastAsia="方正仿宋_GBK" w:cs="方正仿宋_GBK"/>
          <w:color w:val="auto"/>
          <w:spacing w:val="-16"/>
          <w:sz w:val="32"/>
          <w:szCs w:val="32"/>
        </w:rPr>
        <w:t>依据</w:t>
      </w:r>
      <w:r>
        <w:rPr>
          <w:rFonts w:hint="eastAsia" w:ascii="宋体" w:hAnsi="宋体" w:eastAsia="方正仿宋_GBK" w:cs="方正仿宋_GBK"/>
          <w:color w:val="auto"/>
          <w:spacing w:val="0"/>
          <w:sz w:val="32"/>
          <w:szCs w:val="32"/>
          <w:highlight w:val="none"/>
          <w:lang w:eastAsia="zh-CN"/>
        </w:rPr>
        <w:t>《中华人民共和国森林法》、</w:t>
      </w:r>
      <w:r>
        <w:rPr>
          <w:rFonts w:hint="eastAsia" w:ascii="宋体" w:hAnsi="宋体" w:eastAsia="方正仿宋_GBK" w:cs="方正仿宋_GBK"/>
          <w:color w:val="auto"/>
          <w:sz w:val="32"/>
          <w:szCs w:val="32"/>
          <w:highlight w:val="none"/>
          <w:lang w:eastAsia="zh-CN"/>
        </w:rPr>
        <w:t>《天然林保护修复制度方案》和《全国天然林保护修复中长期规划》</w:t>
      </w:r>
      <w:r>
        <w:rPr>
          <w:rFonts w:hint="eastAsia" w:ascii="宋体" w:hAnsi="宋体" w:eastAsia="方正仿宋_GBK" w:cs="方正仿宋_GBK"/>
          <w:color w:val="auto"/>
          <w:spacing w:val="-3"/>
          <w:sz w:val="32"/>
          <w:szCs w:val="32"/>
        </w:rPr>
        <w:t>，制定本规划</w:t>
      </w:r>
      <w:r>
        <w:rPr>
          <w:rFonts w:hint="eastAsia" w:ascii="宋体" w:hAnsi="宋体" w:eastAsia="方正仿宋_GBK" w:cs="方正仿宋_GBK"/>
          <w:color w:val="auto"/>
          <w:spacing w:val="-3"/>
          <w:sz w:val="32"/>
          <w:szCs w:val="32"/>
          <w:lang w:eastAsia="zh-CN"/>
        </w:rPr>
        <w:t>。</w:t>
      </w:r>
    </w:p>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Pr>
        <w:pStyle w:val="4"/>
        <w:keepNext/>
        <w:keepLines/>
        <w:pageBreakBefore w:val="0"/>
        <w:widowControl/>
        <w:numPr>
          <w:ilvl w:val="0"/>
          <w:numId w:val="0"/>
        </w:numPr>
        <w:kinsoku w:val="0"/>
        <w:wordWrap/>
        <w:overflowPunct/>
        <w:topLinePunct w:val="0"/>
        <w:autoSpaceDE/>
        <w:autoSpaceDN/>
        <w:bidi w:val="0"/>
        <w:adjustRightInd w:val="0"/>
        <w:snapToGrid w:val="0"/>
        <w:spacing w:before="157" w:beforeLines="50" w:beforeAutospacing="0" w:after="157" w:afterLines="50" w:line="578" w:lineRule="exact"/>
        <w:ind w:firstLine="616" w:firstLineChars="200"/>
        <w:jc w:val="left"/>
        <w:textAlignment w:val="baseline"/>
        <w:rPr>
          <w:rFonts w:hint="default" w:ascii="宋体" w:hAnsi="宋体" w:eastAsia="方正黑体_GBK" w:cs="方正黑体_GBK"/>
          <w:b w:val="0"/>
          <w:snapToGrid/>
          <w:color w:val="auto"/>
          <w:spacing w:val="-6"/>
          <w:sz w:val="32"/>
          <w:szCs w:val="32"/>
          <w:highlight w:val="none"/>
          <w:lang w:val="en-US" w:eastAsia="zh-CN"/>
        </w:rPr>
      </w:pPr>
      <w:bookmarkStart w:id="60" w:name="_Toc190269633"/>
      <w:r>
        <w:rPr>
          <w:rFonts w:hint="eastAsia" w:ascii="宋体" w:hAnsi="宋体" w:eastAsia="方正黑体_GBK" w:cs="方正黑体_GBK"/>
          <w:b w:val="0"/>
          <w:snapToGrid/>
          <w:color w:val="auto"/>
          <w:spacing w:val="-6"/>
          <w:sz w:val="32"/>
          <w:szCs w:val="32"/>
          <w:highlight w:val="none"/>
          <w:lang w:eastAsia="zh-CN"/>
        </w:rPr>
        <w:t>一、</w:t>
      </w:r>
      <w:r>
        <w:rPr>
          <w:rFonts w:hint="eastAsia" w:ascii="宋体" w:hAnsi="宋体" w:eastAsia="方正黑体_GBK" w:cs="方正黑体_GBK"/>
          <w:b w:val="0"/>
          <w:snapToGrid/>
          <w:color w:val="auto"/>
          <w:spacing w:val="-6"/>
          <w:sz w:val="32"/>
          <w:szCs w:val="32"/>
          <w:highlight w:val="none"/>
          <w:lang w:val="en-US" w:eastAsia="zh-CN"/>
        </w:rPr>
        <w:t>工作</w:t>
      </w:r>
      <w:r>
        <w:rPr>
          <w:rFonts w:hint="eastAsia" w:eastAsia="方正黑体_GBK" w:cs="方正黑体_GBK"/>
          <w:b w:val="0"/>
          <w:snapToGrid/>
          <w:color w:val="auto"/>
          <w:spacing w:val="-6"/>
          <w:sz w:val="32"/>
          <w:szCs w:val="32"/>
          <w:highlight w:val="none"/>
          <w:lang w:val="en-US" w:eastAsia="zh-CN"/>
        </w:rPr>
        <w:t>目标</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b w:val="0"/>
          <w:bCs w:val="0"/>
          <w:color w:val="auto"/>
          <w:kern w:val="0"/>
          <w:sz w:val="32"/>
          <w:szCs w:val="32"/>
          <w:highlight w:val="none"/>
          <w:lang w:eastAsia="zh-CN"/>
        </w:rPr>
      </w:pPr>
      <w:r>
        <w:rPr>
          <w:rFonts w:hint="eastAsia" w:ascii="宋体" w:hAnsi="宋体" w:eastAsia="方正仿宋_GBK" w:cs="方正仿宋_GBK"/>
          <w:color w:val="auto"/>
          <w:sz w:val="32"/>
          <w:szCs w:val="32"/>
          <w:lang w:eastAsia="zh-CN"/>
        </w:rPr>
        <w:t>以习近平新时代中国特色社会主义思想为指导，深入践行习近平生态文明思想，</w:t>
      </w:r>
      <w:r>
        <w:rPr>
          <w:rFonts w:hint="eastAsia" w:ascii="宋体" w:hAnsi="宋体" w:eastAsia="方正仿宋_GBK" w:cs="方正仿宋_GBK"/>
          <w:color w:val="auto"/>
          <w:sz w:val="32"/>
          <w:szCs w:val="32"/>
          <w:lang w:val="en-US" w:eastAsia="zh-CN"/>
        </w:rPr>
        <w:t>贯彻</w:t>
      </w:r>
      <w:r>
        <w:rPr>
          <w:rFonts w:hint="eastAsia" w:ascii="宋体" w:hAnsi="宋体" w:eastAsia="方正仿宋_GBK" w:cs="方正仿宋_GBK"/>
          <w:color w:val="auto"/>
          <w:sz w:val="32"/>
          <w:szCs w:val="32"/>
          <w:lang w:eastAsia="zh-CN"/>
        </w:rPr>
        <w:t>落实习近平总书记考察云南重要讲话精神，牢固树立绿水青山就是金山银山理念，</w:t>
      </w:r>
      <w:r>
        <w:rPr>
          <w:rFonts w:hint="eastAsia" w:ascii="宋体" w:hAnsi="宋体" w:eastAsia="方正仿宋_GBK" w:cs="方正仿宋_GBK"/>
          <w:color w:val="auto"/>
          <w:sz w:val="32"/>
          <w:szCs w:val="32"/>
          <w:lang w:val="en-US" w:eastAsia="zh-CN"/>
        </w:rPr>
        <w:t>坚持“三绿”并举、“四库”联动，</w:t>
      </w:r>
      <w:r>
        <w:rPr>
          <w:rFonts w:hint="eastAsia" w:ascii="宋体" w:hAnsi="宋体" w:eastAsia="方正仿宋_GBK" w:cs="方正仿宋_GBK"/>
          <w:color w:val="auto"/>
          <w:sz w:val="32"/>
          <w:szCs w:val="32"/>
          <w:lang w:eastAsia="zh-CN"/>
        </w:rPr>
        <w:t>全面落实《天然林保护修复制度方案》，坚持全面保护与突出重点相结合，尊重自然与科学修复相统一，生态为民与保障民生同兼顾，政府主导与社会参与共推进，以争当全国生态文明建设排头兵为统领，锚定“3815”战略发展目标，加强天然林管护能力建设，科学实施修复措施，保护和修复天然林，构建健康稳定、功能完备的天然林生态系统，逐步提高天然林生态功能，</w:t>
      </w:r>
      <w:r>
        <w:rPr>
          <w:rFonts w:hint="eastAsia" w:ascii="宋体" w:hAnsi="宋体" w:eastAsia="方正仿宋_GBK" w:cs="方正仿宋_GBK"/>
          <w:b w:val="0"/>
          <w:bCs w:val="0"/>
          <w:color w:val="auto"/>
          <w:kern w:val="0"/>
          <w:sz w:val="32"/>
          <w:szCs w:val="32"/>
          <w:highlight w:val="none"/>
          <w:lang w:eastAsia="zh-CN"/>
        </w:rPr>
        <w:t>为筑牢</w:t>
      </w:r>
      <w:r>
        <w:rPr>
          <w:rFonts w:hint="eastAsia" w:ascii="宋体" w:hAnsi="宋体" w:eastAsia="方正仿宋_GBK" w:cs="方正仿宋_GBK"/>
          <w:b w:val="0"/>
          <w:bCs w:val="0"/>
          <w:color w:val="auto"/>
          <w:kern w:val="0"/>
          <w:sz w:val="32"/>
          <w:szCs w:val="32"/>
          <w:highlight w:val="none"/>
          <w:lang w:val="en-US" w:eastAsia="zh-CN"/>
        </w:rPr>
        <w:t>我国</w:t>
      </w:r>
      <w:r>
        <w:rPr>
          <w:rFonts w:hint="eastAsia" w:ascii="宋体" w:hAnsi="宋体" w:eastAsia="方正仿宋_GBK" w:cs="方正仿宋_GBK"/>
          <w:b w:val="0"/>
          <w:bCs w:val="0"/>
          <w:color w:val="auto"/>
          <w:kern w:val="0"/>
          <w:sz w:val="32"/>
          <w:szCs w:val="32"/>
          <w:highlight w:val="none"/>
          <w:lang w:eastAsia="zh-CN"/>
        </w:rPr>
        <w:t>西南生态安全屏障、建设美丽云南奠定良好生态基础。</w:t>
      </w:r>
    </w:p>
    <w:p>
      <w:pPr>
        <w:pStyle w:val="3"/>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outlineLvl w:val="1"/>
        <w:rPr>
          <w:rFonts w:hint="eastAsia" w:ascii="宋体" w:hAnsi="宋体" w:eastAsia="方正楷体_GBK" w:cs="方正楷体_GBK"/>
          <w:b w:val="0"/>
          <w:bCs w:val="0"/>
          <w:color w:val="FF0000"/>
          <w:kern w:val="0"/>
          <w:sz w:val="32"/>
          <w:szCs w:val="32"/>
          <w:highlight w:val="none"/>
          <w:lang w:val="en-US" w:eastAsia="zh-CN"/>
        </w:rPr>
      </w:pPr>
      <w:r>
        <w:rPr>
          <w:rFonts w:hint="eastAsia" w:ascii="宋体" w:hAnsi="宋体" w:eastAsia="方正楷体_GBK" w:cs="方正楷体_GBK"/>
          <w:b w:val="0"/>
          <w:bCs w:val="0"/>
          <w:color w:val="auto"/>
          <w:kern w:val="0"/>
          <w:sz w:val="32"/>
          <w:szCs w:val="32"/>
          <w:lang w:val="en-US" w:eastAsia="zh-CN"/>
        </w:rPr>
        <w:t>（一）规划范围</w:t>
      </w:r>
    </w:p>
    <w:p>
      <w:pPr>
        <w:pStyle w:val="2"/>
        <w:numPr>
          <w:ilvl w:val="0"/>
          <w:numId w:val="0"/>
        </w:numPr>
        <w:kinsoku/>
        <w:autoSpaceDE/>
        <w:autoSpaceDN/>
        <w:adjustRightInd/>
        <w:snapToGrid/>
        <w:spacing w:line="578" w:lineRule="exact"/>
        <w:ind w:firstLine="640" w:firstLineChars="200"/>
        <w:jc w:val="both"/>
        <w:textAlignment w:val="auto"/>
        <w:rPr>
          <w:rFonts w:hint="eastAsia" w:ascii="宋体" w:hAnsi="宋体" w:eastAsia="方正仿宋_GBK"/>
          <w:sz w:val="32"/>
          <w:szCs w:val="32"/>
          <w:highlight w:val="none"/>
          <w:lang w:val="en-US" w:eastAsia="zh-CN"/>
        </w:rPr>
      </w:pPr>
      <w:r>
        <w:rPr>
          <w:rFonts w:hint="eastAsia" w:ascii="宋体" w:hAnsi="宋体" w:eastAsia="方正仿宋_GBK" w:cs="方正仿宋_GBK"/>
          <w:color w:val="auto"/>
          <w:sz w:val="32"/>
          <w:szCs w:val="32"/>
          <w:lang w:val="en-US" w:eastAsia="zh-CN"/>
        </w:rPr>
        <w:t>把所有天然林都保护起来，将天然林和非天然公益林纳入统一保护范围，实行天然林公益林管理并轨，实施一体化保护。结合森林分布、管理现状，根据天然林生态区位的重要程度和在生态保护、经济社会发展中的地位作用，确定天然林重点保护区域和一般保护区域，对天然林实行分类管控、分区修复。</w:t>
      </w:r>
      <w:r>
        <w:rPr>
          <w:rFonts w:hint="eastAsia" w:ascii="宋体" w:hAnsi="宋体" w:eastAsia="方正仿宋_GBK" w:cs="方正仿宋_GBK"/>
          <w:color w:val="auto"/>
          <w:sz w:val="32"/>
          <w:szCs w:val="32"/>
          <w:highlight w:val="none"/>
          <w:lang w:val="en-US" w:eastAsia="zh-CN"/>
        </w:rPr>
        <w:t>规划期限2026—2035年，</w:t>
      </w:r>
      <w:r>
        <w:rPr>
          <w:rFonts w:hint="eastAsia" w:ascii="宋体" w:hAnsi="宋体" w:eastAsia="方正仿宋_GBK" w:cs="方正仿宋_GBK"/>
          <w:color w:val="auto"/>
          <w:sz w:val="32"/>
          <w:szCs w:val="32"/>
          <w:highlight w:val="none"/>
          <w:lang w:eastAsia="zh-CN"/>
        </w:rPr>
        <w:t>实施单位</w:t>
      </w:r>
      <w:r>
        <w:rPr>
          <w:rFonts w:hint="eastAsia" w:ascii="宋体" w:hAnsi="宋体" w:eastAsia="方正仿宋_GBK" w:cs="方正仿宋_GBK"/>
          <w:color w:val="auto"/>
          <w:sz w:val="32"/>
          <w:szCs w:val="32"/>
          <w:highlight w:val="none"/>
          <w:lang w:val="en-US" w:eastAsia="zh-CN"/>
        </w:rPr>
        <w:t>共</w:t>
      </w:r>
      <w:r>
        <w:rPr>
          <w:rFonts w:hint="eastAsia" w:ascii="宋体" w:hAnsi="宋体" w:eastAsia="方正仿宋_GBK" w:cs="方正仿宋_GBK"/>
          <w:color w:val="auto"/>
          <w:sz w:val="32"/>
          <w:szCs w:val="32"/>
          <w:highlight w:val="none"/>
          <w:lang w:eastAsia="zh-CN"/>
        </w:rPr>
        <w:t>146个。</w:t>
      </w:r>
    </w:p>
    <w:p>
      <w:pPr>
        <w:pStyle w:val="3"/>
        <w:kinsoku/>
        <w:autoSpaceDE/>
        <w:autoSpaceDN/>
        <w:adjustRightInd/>
        <w:snapToGrid/>
        <w:spacing w:line="578" w:lineRule="exact"/>
        <w:ind w:left="0" w:leftChars="0" w:firstLine="640" w:firstLineChars="200"/>
        <w:jc w:val="both"/>
        <w:textAlignment w:val="auto"/>
        <w:outlineLvl w:val="1"/>
        <w:rPr>
          <w:rFonts w:hint="eastAsia" w:ascii="宋体" w:hAnsi="宋体" w:eastAsia="方正楷体_GBK" w:cs="方正楷体_GBK"/>
          <w:color w:val="auto"/>
          <w:lang w:val="en-US" w:eastAsia="zh-CN"/>
        </w:rPr>
      </w:pPr>
      <w:r>
        <w:rPr>
          <w:rFonts w:hint="eastAsia" w:ascii="宋体" w:hAnsi="宋体" w:eastAsia="方正楷体_GBK" w:cs="方正楷体_GBK"/>
          <w:color w:val="auto"/>
          <w:lang w:eastAsia="zh-CN"/>
        </w:rPr>
        <w:t>（</w:t>
      </w:r>
      <w:r>
        <w:rPr>
          <w:rFonts w:hint="eastAsia" w:ascii="宋体" w:hAnsi="宋体" w:eastAsia="方正楷体_GBK" w:cs="方正楷体_GBK"/>
          <w:color w:val="auto"/>
          <w:lang w:val="en-US" w:eastAsia="zh-CN"/>
        </w:rPr>
        <w:t>二</w:t>
      </w:r>
      <w:r>
        <w:rPr>
          <w:rFonts w:hint="eastAsia" w:ascii="宋体" w:hAnsi="宋体" w:eastAsia="方正楷体_GBK" w:cs="方正楷体_GBK"/>
          <w:color w:val="auto"/>
          <w:lang w:eastAsia="zh-CN"/>
        </w:rPr>
        <w:t>）</w:t>
      </w:r>
      <w:r>
        <w:rPr>
          <w:rFonts w:hint="eastAsia" w:ascii="宋体" w:hAnsi="宋体" w:eastAsia="方正楷体_GBK" w:cs="方正楷体_GBK"/>
          <w:color w:val="auto"/>
          <w:lang w:val="en-US" w:eastAsia="zh-CN"/>
        </w:rPr>
        <w:t>规划目标</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——到2030年，天然林面积保持在2.</w:t>
      </w:r>
      <w:r>
        <w:rPr>
          <w:rFonts w:hint="eastAsia" w:ascii="宋体" w:hAnsi="宋体" w:eastAsia="方正仿宋_GBK" w:cs="方正仿宋_GBK"/>
          <w:color w:val="auto"/>
          <w:sz w:val="32"/>
          <w:szCs w:val="32"/>
          <w:lang w:val="en-US" w:eastAsia="zh-CN"/>
        </w:rPr>
        <w:t>60</w:t>
      </w:r>
      <w:r>
        <w:rPr>
          <w:rFonts w:hint="eastAsia" w:ascii="宋体" w:hAnsi="宋体" w:eastAsia="方正仿宋_GBK" w:cs="方正仿宋_GBK"/>
          <w:color w:val="auto"/>
          <w:sz w:val="32"/>
          <w:szCs w:val="32"/>
          <w:lang w:eastAsia="zh-CN"/>
        </w:rPr>
        <w:t>亿亩左右，累计实施森林修复面积1</w:t>
      </w:r>
      <w:r>
        <w:rPr>
          <w:rFonts w:hint="eastAsia" w:ascii="宋体" w:hAnsi="宋体" w:eastAsia="方正仿宋_GBK" w:cs="方正仿宋_GBK"/>
          <w:color w:val="auto"/>
          <w:sz w:val="32"/>
          <w:szCs w:val="32"/>
          <w:lang w:val="en-US" w:eastAsia="zh-CN"/>
        </w:rPr>
        <w:t>820.37</w:t>
      </w:r>
      <w:r>
        <w:rPr>
          <w:rFonts w:hint="eastAsia" w:ascii="宋体" w:hAnsi="宋体" w:eastAsia="方正仿宋_GBK" w:cs="方正仿宋_GBK"/>
          <w:color w:val="auto"/>
          <w:sz w:val="32"/>
          <w:szCs w:val="32"/>
          <w:lang w:eastAsia="zh-CN"/>
        </w:rPr>
        <w:t>万亩，乔木林单位面积蓄积量提高到127.</w:t>
      </w:r>
      <w:r>
        <w:rPr>
          <w:rFonts w:hint="eastAsia" w:ascii="宋体" w:hAnsi="宋体" w:eastAsia="方正仿宋_GBK" w:cs="方正仿宋_GBK"/>
          <w:color w:val="auto"/>
          <w:sz w:val="32"/>
          <w:szCs w:val="32"/>
          <w:lang w:val="en-US" w:eastAsia="zh-CN"/>
        </w:rPr>
        <w:t>7</w:t>
      </w:r>
      <w:r>
        <w:rPr>
          <w:rFonts w:hint="eastAsia" w:ascii="宋体" w:hAnsi="宋体" w:eastAsia="方正仿宋_GBK" w:cs="方正仿宋_GBK"/>
          <w:color w:val="auto"/>
          <w:sz w:val="32"/>
          <w:szCs w:val="32"/>
          <w:lang w:eastAsia="zh-CN"/>
        </w:rPr>
        <w:t>立方米/公顷，天然林、公益林动态管理机制进一步完善，天然林管护责任全面落实，质量持续提升，生态系统日趋稳定、功能不断优化。</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到</w:t>
      </w:r>
      <w:r>
        <w:rPr>
          <w:rFonts w:hint="eastAsia" w:ascii="宋体" w:hAnsi="宋体" w:eastAsia="方正仿宋_GBK" w:cs="方正仿宋_GBK"/>
          <w:color w:val="auto"/>
          <w:sz w:val="32"/>
          <w:szCs w:val="32"/>
          <w:lang w:eastAsia="zh-CN"/>
        </w:rPr>
        <w:t>2035年，天然林面积稳定</w:t>
      </w:r>
      <w:r>
        <w:rPr>
          <w:rFonts w:hint="eastAsia" w:ascii="宋体" w:hAnsi="宋体" w:eastAsia="方正仿宋_GBK" w:cs="方正仿宋_GBK"/>
          <w:color w:val="auto"/>
          <w:sz w:val="32"/>
          <w:szCs w:val="32"/>
          <w:lang w:val="en-US" w:eastAsia="zh-CN"/>
        </w:rPr>
        <w:t>在</w:t>
      </w:r>
      <w:r>
        <w:rPr>
          <w:rFonts w:hint="eastAsia" w:ascii="宋体" w:hAnsi="宋体" w:eastAsia="方正仿宋_GBK" w:cs="方正仿宋_GBK"/>
          <w:color w:val="auto"/>
          <w:sz w:val="32"/>
          <w:szCs w:val="32"/>
          <w:lang w:eastAsia="zh-CN"/>
        </w:rPr>
        <w:t>2.</w:t>
      </w:r>
      <w:r>
        <w:rPr>
          <w:rFonts w:hint="eastAsia" w:ascii="宋体" w:hAnsi="宋体" w:eastAsia="方正仿宋_GBK" w:cs="方正仿宋_GBK"/>
          <w:color w:val="auto"/>
          <w:sz w:val="32"/>
          <w:szCs w:val="32"/>
          <w:lang w:val="en-US" w:eastAsia="zh-CN"/>
        </w:rPr>
        <w:t>60</w:t>
      </w:r>
      <w:r>
        <w:rPr>
          <w:rFonts w:hint="eastAsia" w:ascii="宋体" w:hAnsi="宋体" w:eastAsia="方正仿宋_GBK" w:cs="方正仿宋_GBK"/>
          <w:color w:val="auto"/>
          <w:sz w:val="32"/>
          <w:szCs w:val="32"/>
          <w:lang w:eastAsia="zh-CN"/>
        </w:rPr>
        <w:t>亿亩左右，累计实施森林修复面积3102.07万亩，乔木林单位面积蓄积量提高到1</w:t>
      </w:r>
      <w:r>
        <w:rPr>
          <w:rFonts w:hint="eastAsia" w:ascii="宋体" w:hAnsi="宋体" w:eastAsia="方正仿宋_GBK" w:cs="方正仿宋_GBK"/>
          <w:color w:val="auto"/>
          <w:sz w:val="32"/>
          <w:szCs w:val="32"/>
          <w:lang w:val="en-US" w:eastAsia="zh-CN"/>
        </w:rPr>
        <w:t>36.6</w:t>
      </w:r>
      <w:r>
        <w:rPr>
          <w:rFonts w:hint="eastAsia" w:ascii="宋体" w:hAnsi="宋体" w:eastAsia="方正仿宋_GBK" w:cs="方正仿宋_GBK"/>
          <w:color w:val="auto"/>
          <w:sz w:val="32"/>
          <w:szCs w:val="32"/>
          <w:lang w:eastAsia="zh-CN"/>
        </w:rPr>
        <w:t>立方米/公顷，天然林和非天然公益林管护成效显著，天然林质量</w:t>
      </w:r>
      <w:r>
        <w:rPr>
          <w:rFonts w:hint="eastAsia" w:ascii="宋体" w:hAnsi="宋体" w:eastAsia="方正仿宋_GBK" w:cs="方正仿宋_GBK"/>
          <w:color w:val="auto"/>
          <w:sz w:val="32"/>
          <w:szCs w:val="32"/>
          <w:lang w:val="en-US" w:eastAsia="zh-CN"/>
        </w:rPr>
        <w:t>大幅提升</w:t>
      </w:r>
      <w:r>
        <w:rPr>
          <w:rFonts w:hint="eastAsia" w:ascii="宋体" w:hAnsi="宋体" w:eastAsia="方正仿宋_GBK" w:cs="方正仿宋_GBK"/>
          <w:color w:val="auto"/>
          <w:sz w:val="32"/>
          <w:szCs w:val="32"/>
          <w:lang w:eastAsia="zh-CN"/>
        </w:rPr>
        <w:t>，生态系统更加健康稳定、功能完备，支撑</w:t>
      </w:r>
      <w:r>
        <w:rPr>
          <w:rFonts w:hint="eastAsia" w:ascii="宋体" w:hAnsi="宋体" w:eastAsia="方正仿宋_GBK" w:cs="方正仿宋_GBK"/>
          <w:color w:val="auto"/>
          <w:sz w:val="32"/>
          <w:szCs w:val="32"/>
          <w:lang w:val="en-US" w:eastAsia="zh-CN"/>
        </w:rPr>
        <w:t>我国</w:t>
      </w:r>
      <w:r>
        <w:rPr>
          <w:rFonts w:hint="eastAsia" w:ascii="宋体" w:hAnsi="宋体" w:eastAsia="方正仿宋_GBK" w:cs="方正仿宋_GBK"/>
          <w:color w:val="auto"/>
          <w:sz w:val="32"/>
          <w:szCs w:val="32"/>
          <w:lang w:eastAsia="zh-CN"/>
        </w:rPr>
        <w:t>西南生态安全屏障作用更加突出。</w:t>
      </w:r>
    </w:p>
    <w:bookmarkEnd w:id="60"/>
    <w:p>
      <w:pPr>
        <w:pStyle w:val="2"/>
        <w:spacing w:line="578" w:lineRule="exact"/>
        <w:ind w:firstLine="562" w:firstLineChars="200"/>
        <w:jc w:val="center"/>
        <w:rPr>
          <w:rFonts w:hint="eastAsia" w:ascii="宋体" w:hAnsi="宋体" w:eastAsia="仿宋_GB2312" w:cs="仿宋_GB2312"/>
          <w:b/>
          <w:bCs/>
          <w:color w:val="auto"/>
          <w:sz w:val="28"/>
          <w:szCs w:val="28"/>
          <w:highlight w:val="none"/>
          <w:lang w:eastAsia="zh-CN"/>
        </w:rPr>
      </w:pPr>
      <w:bookmarkStart w:id="61" w:name="_Toc190269639"/>
      <w:r>
        <w:rPr>
          <w:rFonts w:hint="eastAsia" w:ascii="宋体" w:hAnsi="宋体" w:eastAsia="仿宋_GB2312" w:cs="仿宋_GB2312"/>
          <w:b/>
          <w:bCs/>
          <w:color w:val="auto"/>
          <w:sz w:val="28"/>
          <w:szCs w:val="28"/>
          <w:highlight w:val="none"/>
          <w:lang w:eastAsia="zh-CN"/>
        </w:rPr>
        <w:t>表</w:t>
      </w:r>
      <w:r>
        <w:rPr>
          <w:rFonts w:hint="eastAsia" w:ascii="宋体" w:hAnsi="宋体" w:eastAsia="仿宋_GB2312" w:cs="仿宋_GB2312"/>
          <w:b/>
          <w:bCs/>
          <w:color w:val="auto"/>
          <w:sz w:val="28"/>
          <w:szCs w:val="28"/>
          <w:highlight w:val="none"/>
          <w:lang w:val="en-US" w:eastAsia="zh-CN"/>
        </w:rPr>
        <w:t xml:space="preserve">1-1 </w:t>
      </w:r>
      <w:r>
        <w:rPr>
          <w:rFonts w:hint="eastAsia" w:ascii="宋体" w:hAnsi="宋体" w:eastAsia="仿宋_GB2312" w:cs="仿宋_GB2312"/>
          <w:b/>
          <w:bCs/>
          <w:color w:val="auto"/>
          <w:sz w:val="28"/>
          <w:szCs w:val="28"/>
          <w:highlight w:val="none"/>
          <w:lang w:eastAsia="zh-CN"/>
        </w:rPr>
        <w:t>规划目标表</w:t>
      </w:r>
    </w:p>
    <w:tbl>
      <w:tblPr>
        <w:tblStyle w:val="1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4296"/>
        <w:gridCol w:w="1020"/>
        <w:gridCol w:w="1020"/>
        <w:gridCol w:w="1021"/>
        <w:gridCol w:w="1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73" w:type="pct"/>
            <w:tcBorders>
              <w:top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val="en-US" w:eastAsia="zh-CN"/>
              </w:rPr>
            </w:pPr>
            <w:bookmarkStart w:id="62" w:name="_Toc17264"/>
            <w:bookmarkStart w:id="63" w:name="_Toc6214"/>
            <w:bookmarkStart w:id="64" w:name="_Toc25325"/>
            <w:bookmarkStart w:id="65" w:name="_Toc11671"/>
            <w:bookmarkStart w:id="66" w:name="_Toc28278"/>
            <w:bookmarkStart w:id="67" w:name="_Toc4445"/>
            <w:bookmarkStart w:id="68" w:name="_Toc8441"/>
            <w:bookmarkStart w:id="69" w:name="_Toc3628"/>
            <w:bookmarkStart w:id="70" w:name="_Toc17034"/>
            <w:bookmarkStart w:id="71" w:name="_Toc4499"/>
            <w:bookmarkStart w:id="72" w:name="_Toc12091"/>
            <w:bookmarkStart w:id="73" w:name="_Toc22282"/>
            <w:bookmarkStart w:id="74" w:name="_Toc10956"/>
            <w:bookmarkStart w:id="75" w:name="_Toc23547"/>
            <w:bookmarkStart w:id="76" w:name="_Toc28471"/>
            <w:bookmarkStart w:id="77" w:name="_Toc11642"/>
            <w:bookmarkStart w:id="78" w:name="_Toc10425"/>
            <w:bookmarkStart w:id="79" w:name="_Toc12169"/>
            <w:bookmarkStart w:id="80" w:name="_Toc234"/>
            <w:r>
              <w:rPr>
                <w:rFonts w:hint="eastAsia" w:ascii="宋体" w:hAnsi="宋体" w:eastAsia="方正楷体_GBK" w:cs="方正楷体_GBK"/>
                <w:b/>
                <w:bCs/>
                <w:snapToGrid/>
                <w:color w:val="auto"/>
                <w:kern w:val="2"/>
                <w:sz w:val="21"/>
                <w:szCs w:val="21"/>
                <w:highlight w:val="none"/>
                <w:lang w:val="en-US" w:eastAsia="zh-CN"/>
              </w:rPr>
              <w:t>序号</w:t>
            </w:r>
          </w:p>
        </w:tc>
        <w:tc>
          <w:tcPr>
            <w:tcW w:w="2370" w:type="pct"/>
            <w:tcBorders>
              <w:top w:val="single" w:color="auto" w:sz="4" w:space="0"/>
              <w:bottom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eastAsia="zh-CN"/>
              </w:rPr>
            </w:pPr>
            <w:r>
              <w:rPr>
                <w:rFonts w:hint="eastAsia" w:ascii="宋体" w:hAnsi="宋体" w:eastAsia="方正楷体_GBK" w:cs="方正楷体_GBK"/>
                <w:b/>
                <w:bCs/>
                <w:snapToGrid/>
                <w:color w:val="auto"/>
                <w:kern w:val="2"/>
                <w:sz w:val="21"/>
                <w:szCs w:val="21"/>
                <w:highlight w:val="none"/>
                <w:lang w:eastAsia="zh-CN"/>
              </w:rPr>
              <w:t>指标</w:t>
            </w:r>
          </w:p>
        </w:tc>
        <w:tc>
          <w:tcPr>
            <w:tcW w:w="563" w:type="pct"/>
            <w:tcBorders>
              <w:top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eastAsia="zh-CN"/>
              </w:rPr>
            </w:pPr>
            <w:r>
              <w:rPr>
                <w:rFonts w:hint="eastAsia" w:ascii="宋体" w:hAnsi="宋体" w:eastAsia="方正楷体_GBK" w:cs="方正楷体_GBK"/>
                <w:b/>
                <w:bCs/>
                <w:snapToGrid/>
                <w:color w:val="auto"/>
                <w:kern w:val="2"/>
                <w:sz w:val="21"/>
                <w:szCs w:val="21"/>
                <w:highlight w:val="none"/>
                <w:lang w:eastAsia="zh-CN"/>
              </w:rPr>
              <w:t>现</w:t>
            </w:r>
            <w:r>
              <w:rPr>
                <w:rFonts w:hint="eastAsia" w:ascii="宋体" w:hAnsi="宋体" w:eastAsia="方正楷体_GBK" w:cs="方正楷体_GBK"/>
                <w:b/>
                <w:bCs/>
                <w:snapToGrid/>
                <w:color w:val="auto"/>
                <w:kern w:val="2"/>
                <w:sz w:val="21"/>
                <w:szCs w:val="21"/>
                <w:highlight w:val="none"/>
                <w:lang w:val="en-US" w:eastAsia="zh-CN"/>
              </w:rPr>
              <w:t>值</w:t>
            </w:r>
          </w:p>
        </w:tc>
        <w:tc>
          <w:tcPr>
            <w:tcW w:w="563" w:type="pct"/>
            <w:tcBorders>
              <w:top w:val="single" w:color="auto" w:sz="4" w:space="0"/>
              <w:bottom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val="en-US" w:eastAsia="zh-CN"/>
              </w:rPr>
            </w:pPr>
            <w:r>
              <w:rPr>
                <w:rFonts w:hint="eastAsia" w:ascii="宋体" w:hAnsi="宋体" w:eastAsia="方正楷体_GBK" w:cs="方正楷体_GBK"/>
                <w:b/>
                <w:bCs/>
                <w:snapToGrid/>
                <w:color w:val="auto"/>
                <w:kern w:val="2"/>
                <w:sz w:val="21"/>
                <w:szCs w:val="21"/>
                <w:highlight w:val="none"/>
                <w:lang w:eastAsia="zh-CN"/>
              </w:rPr>
              <w:t>2030</w:t>
            </w:r>
            <w:r>
              <w:rPr>
                <w:rFonts w:hint="eastAsia" w:ascii="宋体" w:hAnsi="宋体" w:eastAsia="方正楷体_GBK" w:cs="方正楷体_GBK"/>
                <w:b/>
                <w:bCs/>
                <w:snapToGrid/>
                <w:color w:val="auto"/>
                <w:kern w:val="2"/>
                <w:sz w:val="21"/>
                <w:szCs w:val="21"/>
                <w:highlight w:val="none"/>
                <w:lang w:val="en-US" w:eastAsia="zh-CN"/>
              </w:rPr>
              <w:t>年</w:t>
            </w:r>
          </w:p>
        </w:tc>
        <w:tc>
          <w:tcPr>
            <w:tcW w:w="563" w:type="pct"/>
            <w:tcBorders>
              <w:top w:val="single" w:color="auto" w:sz="4" w:space="0"/>
              <w:bottom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val="en-US" w:eastAsia="zh-CN"/>
              </w:rPr>
            </w:pPr>
            <w:r>
              <w:rPr>
                <w:rFonts w:hint="eastAsia" w:ascii="宋体" w:hAnsi="宋体" w:eastAsia="方正楷体_GBK" w:cs="方正楷体_GBK"/>
                <w:b/>
                <w:bCs/>
                <w:snapToGrid/>
                <w:color w:val="auto"/>
                <w:kern w:val="2"/>
                <w:sz w:val="21"/>
                <w:szCs w:val="21"/>
                <w:highlight w:val="none"/>
                <w:lang w:eastAsia="zh-CN"/>
              </w:rPr>
              <w:t>2035</w:t>
            </w:r>
            <w:r>
              <w:rPr>
                <w:rFonts w:hint="eastAsia" w:ascii="宋体" w:hAnsi="宋体" w:eastAsia="方正楷体_GBK" w:cs="方正楷体_GBK"/>
                <w:b/>
                <w:bCs/>
                <w:snapToGrid/>
                <w:color w:val="auto"/>
                <w:kern w:val="2"/>
                <w:sz w:val="21"/>
                <w:szCs w:val="21"/>
                <w:highlight w:val="none"/>
                <w:lang w:val="en-US" w:eastAsia="zh-CN"/>
              </w:rPr>
              <w:t>年</w:t>
            </w:r>
          </w:p>
        </w:tc>
        <w:tc>
          <w:tcPr>
            <w:tcW w:w="564" w:type="pct"/>
            <w:tcBorders>
              <w:top w:val="single" w:color="auto" w:sz="4" w:space="0"/>
              <w:bottom w:val="single" w:color="auto" w:sz="4" w:space="0"/>
            </w:tcBorders>
            <w:vAlign w:val="center"/>
          </w:tcPr>
          <w:p>
            <w:pPr>
              <w:widowControl w:val="0"/>
              <w:kinsoku/>
              <w:autoSpaceDE/>
              <w:autoSpaceDN/>
              <w:adjustRightInd/>
              <w:snapToGrid w:val="0"/>
              <w:spacing w:line="320" w:lineRule="exact"/>
              <w:ind w:left="0" w:leftChars="0" w:right="0" w:rightChars="0" w:firstLine="0" w:firstLineChars="0"/>
              <w:jc w:val="center"/>
              <w:textAlignment w:val="auto"/>
              <w:rPr>
                <w:rFonts w:hint="eastAsia" w:ascii="宋体" w:hAnsi="宋体" w:eastAsia="方正楷体_GBK" w:cs="方正楷体_GBK"/>
                <w:b/>
                <w:bCs/>
                <w:snapToGrid/>
                <w:color w:val="auto"/>
                <w:kern w:val="2"/>
                <w:sz w:val="21"/>
                <w:szCs w:val="21"/>
                <w:highlight w:val="none"/>
                <w:lang w:val="en-US" w:eastAsia="zh-CN"/>
              </w:rPr>
            </w:pPr>
            <w:r>
              <w:rPr>
                <w:rFonts w:hint="eastAsia" w:ascii="宋体" w:hAnsi="宋体" w:eastAsia="方正楷体_GBK" w:cs="方正楷体_GBK"/>
                <w:b/>
                <w:bCs/>
                <w:snapToGrid/>
                <w:color w:val="auto"/>
                <w:kern w:val="2"/>
                <w:sz w:val="21"/>
                <w:szCs w:val="21"/>
                <w:highlight w:val="none"/>
                <w:lang w:val="en-US"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theme="minorEastAsia"/>
                <w:snapToGrid w:val="0"/>
                <w:color w:val="auto"/>
                <w:sz w:val="21"/>
                <w:szCs w:val="21"/>
                <w:highlight w:val="none"/>
                <w:lang w:val="en-US" w:eastAsia="zh-CN" w:bidi="ar-SA"/>
              </w:rPr>
            </w:pPr>
            <w:r>
              <w:rPr>
                <w:rFonts w:hint="eastAsia" w:ascii="宋体" w:hAnsi="宋体" w:cstheme="minorEastAsia"/>
                <w:snapToGrid w:val="0"/>
                <w:color w:val="auto"/>
                <w:sz w:val="21"/>
                <w:szCs w:val="21"/>
                <w:highlight w:val="none"/>
                <w:lang w:val="en-US" w:eastAsia="zh-CN" w:bidi="ar-SA"/>
              </w:rPr>
              <w:t>1</w:t>
            </w:r>
          </w:p>
        </w:tc>
        <w:tc>
          <w:tcPr>
            <w:tcW w:w="2370"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left"/>
              <w:rPr>
                <w:rFonts w:hint="eastAsia" w:ascii="宋体" w:hAnsi="宋体" w:eastAsia="方正仿宋_GBK" w:cs="方正仿宋_GBK"/>
                <w:snapToGrid w:val="0"/>
                <w:color w:val="auto"/>
                <w:sz w:val="21"/>
                <w:szCs w:val="21"/>
                <w:highlight w:val="none"/>
                <w:lang w:val="en-US" w:eastAsia="zh-CN" w:bidi="ar-SA"/>
              </w:rPr>
            </w:pPr>
            <w:r>
              <w:rPr>
                <w:rFonts w:hint="eastAsia" w:ascii="方正楷体_GBK" w:hAnsi="方正楷体_GBK" w:eastAsia="方正楷体_GBK" w:cs="方正楷体_GBK"/>
                <w:color w:val="auto"/>
                <w:sz w:val="21"/>
                <w:szCs w:val="21"/>
                <w:highlight w:val="none"/>
                <w:lang w:eastAsia="zh-CN"/>
              </w:rPr>
              <w:t>天然林公益林管护责任落实率（％）</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snapToGrid w:val="0"/>
                <w:color w:val="auto"/>
                <w:sz w:val="21"/>
                <w:szCs w:val="21"/>
                <w:highlight w:val="none"/>
                <w:lang w:val="en-US" w:eastAsia="zh-CN" w:bidi="ar-SA"/>
              </w:rPr>
            </w:pPr>
            <w:r>
              <w:rPr>
                <w:rFonts w:hint="eastAsia" w:ascii="宋体" w:hAnsi="宋体" w:eastAsia="方正仿宋_GBK" w:cstheme="minorEastAsia"/>
                <w:color w:val="auto"/>
                <w:sz w:val="21"/>
                <w:szCs w:val="21"/>
                <w:highlight w:val="none"/>
                <w:lang w:eastAsia="zh-CN"/>
              </w:rPr>
              <w:t>100</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snapToGrid w:val="0"/>
                <w:color w:val="auto"/>
                <w:sz w:val="21"/>
                <w:szCs w:val="21"/>
                <w:highlight w:val="none"/>
                <w:lang w:val="en-US" w:eastAsia="zh-CN" w:bidi="ar-SA"/>
              </w:rPr>
            </w:pPr>
            <w:r>
              <w:rPr>
                <w:rFonts w:hint="eastAsia" w:ascii="宋体" w:hAnsi="宋体" w:eastAsia="方正仿宋_GBK" w:cstheme="minorEastAsia"/>
                <w:color w:val="auto"/>
                <w:sz w:val="21"/>
                <w:szCs w:val="21"/>
                <w:highlight w:val="none"/>
                <w:lang w:eastAsia="zh-CN"/>
              </w:rPr>
              <w:t>100</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snapToGrid w:val="0"/>
                <w:color w:val="auto"/>
                <w:sz w:val="21"/>
                <w:szCs w:val="21"/>
                <w:highlight w:val="none"/>
                <w:lang w:val="en-US" w:eastAsia="zh-CN" w:bidi="ar-SA"/>
              </w:rPr>
            </w:pPr>
            <w:r>
              <w:rPr>
                <w:rFonts w:hint="eastAsia" w:ascii="宋体" w:hAnsi="宋体" w:eastAsia="方正仿宋_GBK" w:cstheme="minorEastAsia"/>
                <w:color w:val="auto"/>
                <w:sz w:val="21"/>
                <w:szCs w:val="21"/>
                <w:highlight w:val="none"/>
                <w:lang w:eastAsia="zh-CN"/>
              </w:rPr>
              <w:t>100</w:t>
            </w:r>
          </w:p>
        </w:tc>
        <w:tc>
          <w:tcPr>
            <w:tcW w:w="564"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方正仿宋_GBK"/>
                <w:snapToGrid w:val="0"/>
                <w:color w:val="auto"/>
                <w:sz w:val="21"/>
                <w:szCs w:val="21"/>
                <w:highlight w:val="none"/>
                <w:lang w:val="en-US" w:eastAsia="zh-CN" w:bidi="ar-SA"/>
              </w:rPr>
            </w:pPr>
            <w:r>
              <w:rPr>
                <w:rFonts w:hint="eastAsia" w:ascii="方正楷体_GBK" w:hAnsi="方正楷体_GBK" w:eastAsia="方正楷体_GBK" w:cs="方正楷体_GBK"/>
                <w:color w:val="auto"/>
                <w:sz w:val="21"/>
                <w:szCs w:val="21"/>
                <w:highlight w:val="none"/>
                <w:lang w:val="en-US" w:eastAsia="zh-CN"/>
              </w:rPr>
              <w:t>约束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center"/>
              <w:rPr>
                <w:rFonts w:hint="eastAsia" w:ascii="宋体" w:hAnsi="宋体" w:eastAsia="方正仿宋_GBK" w:cstheme="minorEastAsia"/>
                <w:snapToGrid w:val="0"/>
                <w:color w:val="auto"/>
                <w:sz w:val="21"/>
                <w:szCs w:val="21"/>
                <w:highlight w:val="none"/>
                <w:lang w:val="en-US" w:eastAsia="zh-CN" w:bidi="ar-SA"/>
              </w:rPr>
            </w:pPr>
            <w:r>
              <w:rPr>
                <w:rFonts w:hint="eastAsia" w:ascii="宋体" w:hAnsi="宋体" w:cstheme="minorEastAsia"/>
                <w:color w:val="auto"/>
                <w:sz w:val="21"/>
                <w:szCs w:val="21"/>
                <w:highlight w:val="none"/>
                <w:lang w:val="en-US" w:eastAsia="zh-CN"/>
              </w:rPr>
              <w:t>2</w:t>
            </w:r>
          </w:p>
        </w:tc>
        <w:tc>
          <w:tcPr>
            <w:tcW w:w="2370"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left"/>
              <w:rPr>
                <w:rFonts w:hint="eastAsia" w:ascii="宋体" w:hAnsi="宋体" w:eastAsia="方正仿宋_GBK" w:cs="方正仿宋_GBK"/>
                <w:snapToGrid w:val="0"/>
                <w:color w:val="auto"/>
                <w:sz w:val="21"/>
                <w:szCs w:val="21"/>
                <w:highlight w:val="none"/>
                <w:lang w:val="en-US" w:eastAsia="zh-CN" w:bidi="ar-SA"/>
              </w:rPr>
            </w:pPr>
            <w:r>
              <w:rPr>
                <w:rFonts w:hint="eastAsia" w:ascii="方正楷体_GBK" w:hAnsi="方正楷体_GBK" w:eastAsia="方正楷体_GBK" w:cs="方正楷体_GBK"/>
                <w:color w:val="auto"/>
                <w:sz w:val="21"/>
                <w:szCs w:val="21"/>
                <w:highlight w:val="none"/>
                <w:lang w:eastAsia="zh-CN"/>
              </w:rPr>
              <w:t>森林</w:t>
            </w:r>
            <w:r>
              <w:rPr>
                <w:rFonts w:hint="eastAsia" w:ascii="方正楷体_GBK" w:hAnsi="方正楷体_GBK" w:eastAsia="方正楷体_GBK" w:cs="方正楷体_GBK"/>
                <w:color w:val="auto"/>
                <w:sz w:val="21"/>
                <w:szCs w:val="21"/>
                <w:highlight w:val="none"/>
                <w:lang w:eastAsia="zh-CN" w:bidi="ar"/>
              </w:rPr>
              <w:t>修复面积（累计值，</w:t>
            </w:r>
            <w:r>
              <w:rPr>
                <w:rFonts w:hint="eastAsia" w:ascii="方正楷体_GBK" w:hAnsi="方正楷体_GBK" w:eastAsia="方正楷体_GBK" w:cs="方正楷体_GBK"/>
                <w:color w:val="auto"/>
                <w:sz w:val="21"/>
                <w:szCs w:val="21"/>
                <w:highlight w:val="none"/>
                <w:lang w:eastAsia="zh-CN"/>
              </w:rPr>
              <w:t>万亩</w:t>
            </w:r>
            <w:r>
              <w:rPr>
                <w:rFonts w:hint="eastAsia" w:ascii="方正楷体_GBK" w:hAnsi="方正楷体_GBK" w:eastAsia="方正楷体_GBK" w:cs="方正楷体_GBK"/>
                <w:color w:val="auto"/>
                <w:sz w:val="21"/>
                <w:szCs w:val="21"/>
                <w:highlight w:val="none"/>
                <w:lang w:eastAsia="zh-CN" w:bidi="ar"/>
              </w:rPr>
              <w:t>）</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snapToGrid w:val="0"/>
                <w:color w:val="auto"/>
                <w:sz w:val="21"/>
                <w:szCs w:val="21"/>
                <w:highlight w:val="none"/>
                <w:lang w:val="en-US" w:eastAsia="zh-CN" w:bidi="ar-SA"/>
              </w:rPr>
            </w:pPr>
            <w:r>
              <w:rPr>
                <w:rFonts w:hint="eastAsia" w:ascii="宋体" w:hAnsi="宋体" w:cstheme="minorEastAsia"/>
                <w:color w:val="auto"/>
                <w:sz w:val="21"/>
                <w:szCs w:val="21"/>
                <w:highlight w:val="none"/>
                <w:lang w:val="en-US" w:eastAsia="zh-CN"/>
              </w:rPr>
              <w:t>776.08</w:t>
            </w:r>
          </w:p>
        </w:tc>
        <w:tc>
          <w:tcPr>
            <w:tcW w:w="563" w:type="pct"/>
            <w:tcBorders>
              <w:top w:val="single" w:color="auto" w:sz="4" w:space="0"/>
              <w:bottom w:val="single" w:color="auto" w:sz="4" w:space="0"/>
            </w:tcBorders>
            <w:shd w:val="clear" w:color="auto" w:fill="auto"/>
            <w:vAlign w:val="center"/>
          </w:tcPr>
          <w:p>
            <w:pPr>
              <w:autoSpaceDE/>
              <w:autoSpaceDN/>
              <w:snapToGrid w:val="0"/>
              <w:spacing w:line="320" w:lineRule="exact"/>
              <w:ind w:left="0" w:leftChars="0" w:right="0" w:rightChars="0" w:firstLine="0" w:firstLineChars="0"/>
              <w:jc w:val="right"/>
              <w:textAlignment w:val="center"/>
              <w:rPr>
                <w:rFonts w:hint="default" w:ascii="宋体" w:hAnsi="宋体" w:eastAsia="方正仿宋_GBK" w:cs="宋体"/>
                <w:snapToGrid w:val="0"/>
                <w:color w:val="auto"/>
                <w:sz w:val="21"/>
                <w:szCs w:val="21"/>
                <w:highlight w:val="none"/>
                <w:lang w:val="en-US" w:eastAsia="zh-CN" w:bidi="ar-SA"/>
              </w:rPr>
            </w:pPr>
            <w:r>
              <w:rPr>
                <w:rFonts w:hint="eastAsia" w:cstheme="minorEastAsia"/>
                <w:color w:val="auto"/>
                <w:sz w:val="21"/>
                <w:szCs w:val="21"/>
                <w:highlight w:val="none"/>
                <w:lang w:val="en-US" w:eastAsia="zh-CN" w:bidi="ar"/>
              </w:rPr>
              <w:t>1820.37</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snapToGrid w:val="0"/>
                <w:color w:val="auto"/>
                <w:sz w:val="21"/>
                <w:szCs w:val="21"/>
                <w:highlight w:val="none"/>
                <w:lang w:val="en-US" w:eastAsia="zh-CN" w:bidi="ar-SA"/>
              </w:rPr>
            </w:pPr>
            <w:r>
              <w:rPr>
                <w:rFonts w:hint="eastAsia" w:ascii="宋体" w:hAnsi="宋体" w:eastAsia="方正仿宋_GBK" w:cstheme="minorEastAsia"/>
                <w:color w:val="auto"/>
                <w:sz w:val="21"/>
                <w:szCs w:val="21"/>
                <w:highlight w:val="none"/>
                <w:lang w:eastAsia="zh-CN"/>
              </w:rPr>
              <w:t>3102.07</w:t>
            </w:r>
          </w:p>
        </w:tc>
        <w:tc>
          <w:tcPr>
            <w:tcW w:w="564"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方正仿宋_GBK"/>
                <w:snapToGrid w:val="0"/>
                <w:color w:val="auto"/>
                <w:sz w:val="21"/>
                <w:szCs w:val="21"/>
                <w:highlight w:val="none"/>
                <w:lang w:val="en-US" w:eastAsia="zh-CN" w:bidi="ar-SA"/>
              </w:rPr>
            </w:pPr>
            <w:r>
              <w:rPr>
                <w:rFonts w:hint="eastAsia" w:ascii="方正楷体_GBK" w:hAnsi="方正楷体_GBK" w:eastAsia="方正楷体_GBK" w:cs="方正楷体_GBK"/>
                <w:color w:val="auto"/>
                <w:sz w:val="21"/>
                <w:szCs w:val="21"/>
                <w:highlight w:val="none"/>
                <w:lang w:val="en-US" w:eastAsia="zh-CN"/>
              </w:rPr>
              <w:t>约束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3"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theme="minorEastAsia"/>
                <w:color w:val="auto"/>
                <w:sz w:val="21"/>
                <w:szCs w:val="21"/>
                <w:highlight w:val="none"/>
                <w:lang w:val="en-US" w:eastAsia="zh-CN"/>
              </w:rPr>
            </w:pPr>
            <w:r>
              <w:rPr>
                <w:rFonts w:hint="eastAsia" w:ascii="宋体" w:hAnsi="宋体" w:cstheme="minorEastAsia"/>
                <w:color w:val="auto"/>
                <w:sz w:val="21"/>
                <w:szCs w:val="21"/>
                <w:highlight w:val="none"/>
                <w:lang w:val="en-US" w:eastAsia="zh-CN"/>
              </w:rPr>
              <w:t>3</w:t>
            </w:r>
          </w:p>
        </w:tc>
        <w:tc>
          <w:tcPr>
            <w:tcW w:w="2370"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left"/>
              <w:rPr>
                <w:rFonts w:hint="eastAsia" w:ascii="宋体" w:hAnsi="宋体" w:eastAsia="方正仿宋_GBK" w:cs="方正仿宋_GBK"/>
                <w:color w:val="auto"/>
                <w:sz w:val="21"/>
                <w:szCs w:val="21"/>
                <w:highlight w:val="none"/>
                <w:lang w:eastAsia="zh-CN"/>
              </w:rPr>
            </w:pPr>
            <w:r>
              <w:rPr>
                <w:rFonts w:hint="eastAsia" w:ascii="方正楷体_GBK" w:hAnsi="方正楷体_GBK" w:eastAsia="方正楷体_GBK" w:cs="方正楷体_GBK"/>
                <w:color w:val="auto"/>
                <w:sz w:val="21"/>
                <w:szCs w:val="21"/>
                <w:highlight w:val="none"/>
                <w:lang w:eastAsia="zh-CN"/>
              </w:rPr>
              <w:t>天然</w:t>
            </w:r>
            <w:r>
              <w:rPr>
                <w:rFonts w:hint="eastAsia" w:ascii="方正楷体_GBK" w:hAnsi="方正楷体_GBK" w:eastAsia="方正楷体_GBK" w:cs="方正楷体_GBK"/>
                <w:color w:val="auto"/>
                <w:sz w:val="21"/>
                <w:szCs w:val="21"/>
                <w:highlight w:val="none"/>
                <w:lang w:val="en-US" w:eastAsia="zh-CN"/>
              </w:rPr>
              <w:t>林</w:t>
            </w:r>
            <w:r>
              <w:rPr>
                <w:rFonts w:hint="eastAsia" w:ascii="方正楷体_GBK" w:hAnsi="方正楷体_GBK" w:eastAsia="方正楷体_GBK" w:cs="方正楷体_GBK"/>
                <w:color w:val="auto"/>
                <w:sz w:val="21"/>
                <w:szCs w:val="21"/>
                <w:highlight w:val="none"/>
                <w:lang w:eastAsia="zh-CN"/>
              </w:rPr>
              <w:t>面积保有量（亿亩）</w:t>
            </w:r>
          </w:p>
        </w:tc>
        <w:tc>
          <w:tcPr>
            <w:tcW w:w="563" w:type="pct"/>
            <w:tcBorders>
              <w:top w:val="single" w:color="auto" w:sz="4" w:space="0"/>
              <w:bottom w:val="single" w:color="auto" w:sz="4" w:space="0"/>
            </w:tcBorders>
            <w:shd w:val="clear" w:color="auto" w:fill="auto"/>
            <w:vAlign w:val="center"/>
          </w:tcPr>
          <w:p>
            <w:pPr>
              <w:autoSpaceDE/>
              <w:autoSpaceDN/>
              <w:snapToGrid w:val="0"/>
              <w:spacing w:line="320" w:lineRule="exact"/>
              <w:ind w:left="0" w:leftChars="0" w:right="0" w:rightChars="0" w:firstLine="0" w:firstLineChars="0"/>
              <w:jc w:val="right"/>
              <w:textAlignment w:val="center"/>
              <w:rPr>
                <w:rFonts w:hint="default" w:ascii="宋体" w:hAnsi="宋体" w:eastAsia="方正仿宋_GBK" w:cs="方正仿宋_GBK"/>
                <w:color w:val="auto"/>
                <w:sz w:val="21"/>
                <w:szCs w:val="21"/>
                <w:highlight w:val="none"/>
                <w:lang w:val="en-US" w:eastAsia="zh-CN"/>
              </w:rPr>
            </w:pPr>
            <w:r>
              <w:rPr>
                <w:rFonts w:hint="eastAsia" w:ascii="宋体" w:hAnsi="宋体" w:eastAsia="方正仿宋_GBK" w:cstheme="minorEastAsia"/>
                <w:color w:val="auto"/>
                <w:sz w:val="21"/>
                <w:szCs w:val="21"/>
                <w:highlight w:val="none"/>
                <w:lang w:eastAsia="zh-CN" w:bidi="ar"/>
              </w:rPr>
              <w:t>2</w:t>
            </w:r>
            <w:r>
              <w:rPr>
                <w:rFonts w:hint="eastAsia" w:ascii="宋体" w:hAnsi="宋体" w:eastAsia="方正仿宋_GBK" w:cs="方正仿宋_GBK"/>
                <w:color w:val="auto"/>
                <w:sz w:val="21"/>
                <w:szCs w:val="21"/>
                <w:highlight w:val="none"/>
                <w:lang w:eastAsia="zh-CN" w:bidi="ar"/>
              </w:rPr>
              <w:t>.</w:t>
            </w:r>
            <w:r>
              <w:rPr>
                <w:rFonts w:hint="eastAsia" w:ascii="宋体" w:hAnsi="宋体" w:cstheme="minorEastAsia"/>
                <w:color w:val="auto"/>
                <w:sz w:val="21"/>
                <w:szCs w:val="21"/>
                <w:highlight w:val="none"/>
                <w:lang w:val="en-US" w:eastAsia="zh-CN" w:bidi="ar"/>
              </w:rPr>
              <w:t>6</w:t>
            </w:r>
            <w:r>
              <w:rPr>
                <w:rFonts w:hint="eastAsia" w:cstheme="minorEastAsia"/>
                <w:color w:val="auto"/>
                <w:sz w:val="21"/>
                <w:szCs w:val="21"/>
                <w:highlight w:val="none"/>
                <w:lang w:val="en-US" w:eastAsia="zh-CN" w:bidi="ar"/>
              </w:rPr>
              <w:t>7</w:t>
            </w:r>
            <w:r>
              <w:rPr>
                <w:rFonts w:hint="eastAsia" w:ascii="宋体" w:hAnsi="宋体" w:cstheme="minorEastAsia"/>
                <w:color w:val="auto"/>
                <w:sz w:val="21"/>
                <w:szCs w:val="21"/>
                <w:highlight w:val="none"/>
                <w:lang w:val="en-US" w:eastAsia="zh-CN" w:bidi="ar"/>
              </w:rPr>
              <w:t>*</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default" w:ascii="宋体" w:hAnsi="宋体" w:eastAsia="方正仿宋_GBK" w:cs="方正仿宋_GBK"/>
                <w:color w:val="auto"/>
                <w:sz w:val="21"/>
                <w:szCs w:val="21"/>
                <w:highlight w:val="none"/>
                <w:lang w:val="en-US" w:eastAsia="zh-CN"/>
              </w:rPr>
            </w:pPr>
            <w:r>
              <w:rPr>
                <w:rFonts w:hint="eastAsia" w:ascii="宋体" w:hAnsi="宋体" w:eastAsia="方正仿宋_GBK" w:cstheme="minorEastAsia"/>
                <w:color w:val="auto"/>
                <w:sz w:val="21"/>
                <w:szCs w:val="21"/>
                <w:highlight w:val="none"/>
                <w:lang w:eastAsia="zh-CN" w:bidi="ar"/>
              </w:rPr>
              <w:t>2</w:t>
            </w:r>
            <w:r>
              <w:rPr>
                <w:rFonts w:hint="eastAsia" w:ascii="宋体" w:hAnsi="宋体" w:eastAsia="方正仿宋_GBK" w:cs="方正仿宋_GBK"/>
                <w:color w:val="auto"/>
                <w:sz w:val="21"/>
                <w:szCs w:val="21"/>
                <w:highlight w:val="none"/>
                <w:lang w:eastAsia="zh-CN" w:bidi="ar"/>
              </w:rPr>
              <w:t>.</w:t>
            </w:r>
            <w:r>
              <w:rPr>
                <w:rFonts w:hint="eastAsia" w:ascii="宋体" w:hAnsi="宋体" w:cstheme="minorEastAsia"/>
                <w:color w:val="auto"/>
                <w:sz w:val="21"/>
                <w:szCs w:val="21"/>
                <w:highlight w:val="none"/>
                <w:lang w:val="en-US" w:eastAsia="zh-CN" w:bidi="ar"/>
              </w:rPr>
              <w:t>6</w:t>
            </w:r>
            <w:r>
              <w:rPr>
                <w:rFonts w:hint="eastAsia" w:cstheme="minorEastAsia"/>
                <w:color w:val="auto"/>
                <w:sz w:val="21"/>
                <w:szCs w:val="21"/>
                <w:highlight w:val="none"/>
                <w:lang w:val="en-US" w:eastAsia="zh-CN" w:bidi="ar"/>
              </w:rPr>
              <w:t>0</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default" w:ascii="宋体" w:hAnsi="宋体" w:eastAsia="方正仿宋_GBK" w:cs="方正仿宋_GBK"/>
                <w:color w:val="auto"/>
                <w:sz w:val="21"/>
                <w:szCs w:val="21"/>
                <w:highlight w:val="none"/>
                <w:lang w:val="en-US" w:eastAsia="zh-CN"/>
              </w:rPr>
            </w:pPr>
            <w:r>
              <w:rPr>
                <w:rFonts w:hint="eastAsia" w:ascii="宋体" w:hAnsi="宋体" w:eastAsia="方正仿宋_GBK" w:cstheme="minorEastAsia"/>
                <w:color w:val="auto"/>
                <w:sz w:val="21"/>
                <w:szCs w:val="21"/>
                <w:highlight w:val="none"/>
                <w:lang w:eastAsia="zh-CN" w:bidi="ar"/>
              </w:rPr>
              <w:t>2</w:t>
            </w:r>
            <w:r>
              <w:rPr>
                <w:rFonts w:hint="eastAsia" w:ascii="宋体" w:hAnsi="宋体" w:eastAsia="方正仿宋_GBK" w:cs="方正仿宋_GBK"/>
                <w:color w:val="auto"/>
                <w:sz w:val="21"/>
                <w:szCs w:val="21"/>
                <w:highlight w:val="none"/>
                <w:lang w:eastAsia="zh-CN" w:bidi="ar"/>
              </w:rPr>
              <w:t>.</w:t>
            </w:r>
            <w:r>
              <w:rPr>
                <w:rFonts w:hint="eastAsia" w:ascii="宋体" w:hAnsi="宋体" w:cstheme="minorEastAsia"/>
                <w:color w:val="auto"/>
                <w:sz w:val="21"/>
                <w:szCs w:val="21"/>
                <w:highlight w:val="none"/>
                <w:lang w:val="en-US" w:eastAsia="zh-CN" w:bidi="ar"/>
              </w:rPr>
              <w:t>6</w:t>
            </w:r>
            <w:r>
              <w:rPr>
                <w:rFonts w:hint="eastAsia" w:cstheme="minorEastAsia"/>
                <w:color w:val="auto"/>
                <w:sz w:val="21"/>
                <w:szCs w:val="21"/>
                <w:highlight w:val="none"/>
                <w:lang w:val="en-US" w:eastAsia="zh-CN" w:bidi="ar"/>
              </w:rPr>
              <w:t>0</w:t>
            </w:r>
          </w:p>
        </w:tc>
        <w:tc>
          <w:tcPr>
            <w:tcW w:w="564"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eastAsia" w:ascii="宋体" w:hAnsi="宋体" w:eastAsia="方正仿宋_GBK" w:cs="方正仿宋_GBK"/>
                <w:color w:val="auto"/>
                <w:sz w:val="21"/>
                <w:szCs w:val="21"/>
                <w:highlight w:val="none"/>
                <w:lang w:eastAsia="zh-CN"/>
              </w:rPr>
            </w:pPr>
            <w:r>
              <w:rPr>
                <w:rFonts w:hint="eastAsia" w:ascii="方正楷体_GBK" w:hAnsi="方正楷体_GBK" w:eastAsia="方正楷体_GBK" w:cs="方正楷体_GBK"/>
                <w:color w:val="auto"/>
                <w:sz w:val="21"/>
                <w:szCs w:val="21"/>
                <w:highlight w:val="none"/>
                <w:lang w:val="en-US" w:eastAsia="zh-CN"/>
              </w:rPr>
              <w:t>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3"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theme="minorEastAsia"/>
                <w:color w:val="auto"/>
                <w:sz w:val="21"/>
                <w:szCs w:val="21"/>
                <w:highlight w:val="none"/>
                <w:lang w:val="en-US" w:eastAsia="zh-CN"/>
              </w:rPr>
            </w:pPr>
            <w:r>
              <w:rPr>
                <w:rFonts w:hint="eastAsia" w:ascii="宋体" w:hAnsi="宋体" w:cstheme="minorEastAsia"/>
                <w:color w:val="auto"/>
                <w:sz w:val="21"/>
                <w:szCs w:val="21"/>
                <w:highlight w:val="none"/>
                <w:lang w:val="en-US" w:eastAsia="zh-CN"/>
              </w:rPr>
              <w:t>4</w:t>
            </w:r>
          </w:p>
        </w:tc>
        <w:tc>
          <w:tcPr>
            <w:tcW w:w="2370"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left"/>
              <w:rPr>
                <w:rFonts w:hint="eastAsia" w:ascii="宋体" w:hAnsi="宋体" w:eastAsia="方正仿宋_GBK" w:cs="方正仿宋_GBK"/>
                <w:color w:val="auto"/>
                <w:sz w:val="21"/>
                <w:szCs w:val="21"/>
                <w:highlight w:val="none"/>
                <w:lang w:eastAsia="zh-CN"/>
              </w:rPr>
            </w:pPr>
            <w:r>
              <w:rPr>
                <w:rFonts w:hint="eastAsia" w:ascii="方正楷体_GBK" w:hAnsi="方正楷体_GBK" w:eastAsia="方正楷体_GBK" w:cs="方正楷体_GBK"/>
                <w:color w:val="auto"/>
                <w:sz w:val="21"/>
                <w:szCs w:val="21"/>
                <w:highlight w:val="none"/>
                <w:lang w:eastAsia="zh-CN"/>
              </w:rPr>
              <w:t>天然乔木林单位面积蓄积量（立方米/公顷）</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color w:val="auto"/>
                <w:sz w:val="21"/>
                <w:szCs w:val="21"/>
                <w:highlight w:val="none"/>
                <w:lang w:eastAsia="zh-CN"/>
              </w:rPr>
            </w:pPr>
            <w:r>
              <w:rPr>
                <w:rFonts w:hint="eastAsia" w:ascii="宋体" w:hAnsi="宋体" w:eastAsia="方正仿宋_GBK" w:cstheme="minorEastAsia"/>
                <w:color w:val="auto"/>
                <w:sz w:val="21"/>
                <w:szCs w:val="21"/>
                <w:highlight w:val="none"/>
                <w:lang w:eastAsia="zh-CN"/>
              </w:rPr>
              <w:t>11</w:t>
            </w:r>
            <w:r>
              <w:rPr>
                <w:rFonts w:hint="eastAsia" w:ascii="宋体" w:hAnsi="宋体" w:cstheme="minorEastAsia"/>
                <w:color w:val="auto"/>
                <w:sz w:val="21"/>
                <w:szCs w:val="21"/>
                <w:highlight w:val="none"/>
                <w:lang w:val="en-US" w:eastAsia="zh-CN"/>
              </w:rPr>
              <w:t>7</w:t>
            </w:r>
            <w:r>
              <w:rPr>
                <w:rFonts w:hint="eastAsia" w:ascii="宋体" w:hAnsi="宋体" w:eastAsia="方正仿宋_GBK" w:cs="方正仿宋_GBK"/>
                <w:color w:val="auto"/>
                <w:sz w:val="21"/>
                <w:szCs w:val="21"/>
                <w:highlight w:val="none"/>
                <w:lang w:eastAsia="zh-CN"/>
              </w:rPr>
              <w:t>.</w:t>
            </w:r>
            <w:r>
              <w:rPr>
                <w:rFonts w:hint="eastAsia" w:ascii="宋体" w:hAnsi="宋体" w:cstheme="minorEastAsia"/>
                <w:color w:val="auto"/>
                <w:sz w:val="21"/>
                <w:szCs w:val="21"/>
                <w:highlight w:val="none"/>
                <w:lang w:val="en-US" w:eastAsia="zh-CN"/>
              </w:rPr>
              <w:t>0</w:t>
            </w:r>
            <w:r>
              <w:rPr>
                <w:rFonts w:hint="eastAsia" w:ascii="宋体" w:hAnsi="宋体" w:cstheme="minorEastAsia"/>
                <w:color w:val="auto"/>
                <w:sz w:val="21"/>
                <w:szCs w:val="21"/>
                <w:highlight w:val="none"/>
                <w:lang w:val="en-US" w:eastAsia="zh-CN" w:bidi="ar"/>
              </w:rPr>
              <w:t>*</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color w:val="auto"/>
                <w:sz w:val="21"/>
                <w:szCs w:val="21"/>
                <w:highlight w:val="none"/>
                <w:lang w:eastAsia="zh-CN"/>
              </w:rPr>
            </w:pPr>
            <w:r>
              <w:rPr>
                <w:rFonts w:hint="eastAsia" w:ascii="宋体" w:hAnsi="宋体" w:eastAsia="方正仿宋_GBK" w:cstheme="minorEastAsia"/>
                <w:color w:val="auto"/>
                <w:sz w:val="21"/>
                <w:szCs w:val="21"/>
                <w:highlight w:val="none"/>
                <w:lang w:eastAsia="zh-CN"/>
              </w:rPr>
              <w:t>127</w:t>
            </w:r>
            <w:r>
              <w:rPr>
                <w:rFonts w:hint="eastAsia" w:ascii="宋体" w:hAnsi="宋体" w:eastAsia="方正仿宋_GBK" w:cs="方正仿宋_GBK"/>
                <w:color w:val="auto"/>
                <w:sz w:val="21"/>
                <w:szCs w:val="21"/>
                <w:highlight w:val="none"/>
                <w:lang w:eastAsia="zh-CN"/>
              </w:rPr>
              <w:t>.</w:t>
            </w:r>
            <w:r>
              <w:rPr>
                <w:rFonts w:hint="eastAsia" w:ascii="宋体" w:hAnsi="宋体" w:cstheme="minorEastAsia"/>
                <w:color w:val="auto"/>
                <w:sz w:val="21"/>
                <w:szCs w:val="21"/>
                <w:highlight w:val="none"/>
                <w:lang w:val="en-US" w:eastAsia="zh-CN"/>
              </w:rPr>
              <w:t>7</w:t>
            </w:r>
          </w:p>
        </w:tc>
        <w:tc>
          <w:tcPr>
            <w:tcW w:w="563" w:type="pct"/>
            <w:tcBorders>
              <w:top w:val="single" w:color="auto" w:sz="4" w:space="0"/>
              <w:bottom w:val="single" w:color="auto" w:sz="4" w:space="0"/>
            </w:tcBorders>
            <w:shd w:val="clear" w:color="auto" w:fill="auto"/>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color w:val="auto"/>
                <w:sz w:val="21"/>
                <w:szCs w:val="21"/>
                <w:highlight w:val="none"/>
                <w:lang w:eastAsia="zh-CN"/>
              </w:rPr>
            </w:pPr>
            <w:r>
              <w:rPr>
                <w:rFonts w:hint="eastAsia" w:ascii="宋体" w:hAnsi="宋体" w:eastAsia="方正仿宋_GBK" w:cstheme="minorEastAsia"/>
                <w:color w:val="auto"/>
                <w:sz w:val="21"/>
                <w:szCs w:val="21"/>
                <w:highlight w:val="none"/>
                <w:lang w:eastAsia="zh-CN"/>
              </w:rPr>
              <w:t>136</w:t>
            </w:r>
            <w:r>
              <w:rPr>
                <w:rFonts w:hint="eastAsia" w:ascii="宋体" w:hAnsi="宋体" w:eastAsia="方正仿宋_GBK" w:cs="方正仿宋_GBK"/>
                <w:color w:val="auto"/>
                <w:sz w:val="21"/>
                <w:szCs w:val="21"/>
                <w:highlight w:val="none"/>
                <w:lang w:eastAsia="zh-CN"/>
              </w:rPr>
              <w:t>.</w:t>
            </w:r>
            <w:r>
              <w:rPr>
                <w:rFonts w:hint="eastAsia" w:ascii="宋体" w:hAnsi="宋体" w:cstheme="minorEastAsia"/>
                <w:color w:val="auto"/>
                <w:sz w:val="21"/>
                <w:szCs w:val="21"/>
                <w:highlight w:val="none"/>
                <w:lang w:val="en-US" w:eastAsia="zh-CN"/>
              </w:rPr>
              <w:t>6</w:t>
            </w:r>
          </w:p>
        </w:tc>
        <w:tc>
          <w:tcPr>
            <w:tcW w:w="564"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eastAsia" w:ascii="宋体" w:hAnsi="宋体" w:eastAsia="方正仿宋_GBK" w:cs="方正仿宋_GBK"/>
                <w:color w:val="auto"/>
                <w:sz w:val="21"/>
                <w:szCs w:val="21"/>
                <w:highlight w:val="none"/>
                <w:lang w:eastAsia="zh-CN"/>
              </w:rPr>
            </w:pPr>
            <w:r>
              <w:rPr>
                <w:rFonts w:hint="eastAsia" w:ascii="方正楷体_GBK" w:hAnsi="方正楷体_GBK" w:eastAsia="方正楷体_GBK" w:cs="方正楷体_GBK"/>
                <w:color w:val="auto"/>
                <w:sz w:val="21"/>
                <w:szCs w:val="21"/>
                <w:highlight w:val="none"/>
                <w:lang w:eastAsia="zh-CN"/>
              </w:rPr>
              <w:t>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73"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default" w:ascii="宋体" w:hAnsi="宋体" w:eastAsia="方正仿宋_GBK" w:cstheme="minorEastAsia"/>
                <w:color w:val="auto"/>
                <w:sz w:val="21"/>
                <w:szCs w:val="21"/>
                <w:highlight w:val="none"/>
                <w:lang w:val="en-US" w:eastAsia="zh-CN"/>
              </w:rPr>
            </w:pPr>
            <w:bookmarkStart w:id="81" w:name="_Toc18694"/>
            <w:bookmarkStart w:id="82" w:name="_Toc21338"/>
            <w:r>
              <w:rPr>
                <w:rFonts w:hint="eastAsia" w:ascii="宋体" w:hAnsi="宋体" w:cstheme="minorEastAsia"/>
                <w:color w:val="auto"/>
                <w:sz w:val="21"/>
                <w:szCs w:val="21"/>
                <w:highlight w:val="none"/>
                <w:lang w:val="en-US" w:eastAsia="zh-CN"/>
              </w:rPr>
              <w:t>5</w:t>
            </w:r>
          </w:p>
        </w:tc>
        <w:tc>
          <w:tcPr>
            <w:tcW w:w="2370"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left"/>
              <w:rPr>
                <w:rFonts w:hint="eastAsia" w:ascii="宋体" w:hAnsi="宋体" w:eastAsia="方正仿宋_GBK" w:cs="方正仿宋_GBK"/>
                <w:color w:val="auto"/>
                <w:sz w:val="21"/>
                <w:szCs w:val="21"/>
                <w:highlight w:val="none"/>
                <w:lang w:eastAsia="zh-CN"/>
              </w:rPr>
            </w:pPr>
            <w:r>
              <w:rPr>
                <w:rFonts w:hint="eastAsia" w:ascii="方正楷体_GBK" w:hAnsi="方正楷体_GBK" w:eastAsia="方正楷体_GBK" w:cs="方正楷体_GBK"/>
                <w:color w:val="auto"/>
                <w:sz w:val="21"/>
                <w:szCs w:val="21"/>
                <w:highlight w:val="none"/>
                <w:lang w:eastAsia="zh-CN"/>
              </w:rPr>
              <w:t>非国有林生态保护补偿落实率（％）</w:t>
            </w:r>
          </w:p>
        </w:tc>
        <w:tc>
          <w:tcPr>
            <w:tcW w:w="563"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color w:val="auto"/>
                <w:sz w:val="21"/>
                <w:szCs w:val="21"/>
                <w:highlight w:val="none"/>
                <w:lang w:eastAsia="zh-CN"/>
              </w:rPr>
            </w:pPr>
            <w:r>
              <w:rPr>
                <w:rFonts w:hint="eastAsia" w:ascii="宋体" w:hAnsi="宋体" w:eastAsia="方正仿宋_GBK" w:cstheme="minorEastAsia"/>
                <w:color w:val="auto"/>
                <w:sz w:val="21"/>
                <w:szCs w:val="21"/>
                <w:highlight w:val="none"/>
                <w:lang w:eastAsia="zh-CN"/>
              </w:rPr>
              <w:t>100</w:t>
            </w:r>
          </w:p>
        </w:tc>
        <w:tc>
          <w:tcPr>
            <w:tcW w:w="563" w:type="pct"/>
            <w:tcBorders>
              <w:top w:val="single" w:color="auto" w:sz="4" w:space="0"/>
              <w:bottom w:val="single" w:color="auto" w:sz="4" w:space="0"/>
            </w:tcBorders>
            <w:shd w:val="clear" w:color="auto" w:fill="auto"/>
            <w:vAlign w:val="center"/>
          </w:tcPr>
          <w:p>
            <w:pPr>
              <w:autoSpaceDE/>
              <w:autoSpaceDN/>
              <w:snapToGrid w:val="0"/>
              <w:spacing w:line="320" w:lineRule="exact"/>
              <w:ind w:left="0" w:leftChars="0" w:right="0" w:rightChars="0" w:firstLine="0" w:firstLineChars="0"/>
              <w:jc w:val="right"/>
              <w:textAlignment w:val="center"/>
              <w:rPr>
                <w:rFonts w:hint="eastAsia" w:ascii="宋体" w:hAnsi="宋体" w:eastAsia="方正仿宋_GBK"/>
                <w:color w:val="auto"/>
                <w:sz w:val="21"/>
                <w:szCs w:val="21"/>
                <w:highlight w:val="none"/>
                <w:lang w:eastAsia="zh-CN" w:bidi="ar"/>
              </w:rPr>
            </w:pPr>
            <w:r>
              <w:rPr>
                <w:rFonts w:hint="eastAsia" w:ascii="宋体" w:hAnsi="宋体" w:eastAsia="方正仿宋_GBK" w:cstheme="minorEastAsia"/>
                <w:color w:val="auto"/>
                <w:sz w:val="21"/>
                <w:szCs w:val="21"/>
                <w:highlight w:val="none"/>
                <w:lang w:eastAsia="zh-CN" w:bidi="ar"/>
              </w:rPr>
              <w:t>100</w:t>
            </w:r>
          </w:p>
        </w:tc>
        <w:tc>
          <w:tcPr>
            <w:tcW w:w="563"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right"/>
              <w:rPr>
                <w:rFonts w:hint="eastAsia" w:ascii="宋体" w:hAnsi="宋体" w:eastAsia="方正仿宋_GBK" w:cs="方正仿宋_GBK"/>
                <w:color w:val="auto"/>
                <w:sz w:val="21"/>
                <w:szCs w:val="21"/>
                <w:highlight w:val="none"/>
                <w:lang w:eastAsia="zh-CN"/>
              </w:rPr>
            </w:pPr>
            <w:r>
              <w:rPr>
                <w:rFonts w:hint="eastAsia" w:ascii="宋体" w:hAnsi="宋体" w:eastAsia="方正仿宋_GBK" w:cstheme="minorEastAsia"/>
                <w:color w:val="auto"/>
                <w:sz w:val="21"/>
                <w:szCs w:val="21"/>
                <w:highlight w:val="none"/>
                <w:lang w:eastAsia="zh-CN"/>
              </w:rPr>
              <w:t>100</w:t>
            </w:r>
          </w:p>
        </w:tc>
        <w:tc>
          <w:tcPr>
            <w:tcW w:w="564" w:type="pct"/>
            <w:tcBorders>
              <w:top w:val="single" w:color="auto" w:sz="4" w:space="0"/>
              <w:bottom w:val="single" w:color="auto" w:sz="4" w:space="0"/>
            </w:tcBorders>
            <w:vAlign w:val="center"/>
          </w:tcPr>
          <w:p>
            <w:pPr>
              <w:widowControl w:val="0"/>
              <w:autoSpaceDE/>
              <w:autoSpaceDN/>
              <w:snapToGrid w:val="0"/>
              <w:spacing w:line="320" w:lineRule="exact"/>
              <w:ind w:left="0" w:leftChars="0" w:right="0" w:rightChars="0" w:firstLine="0" w:firstLineChars="0"/>
              <w:jc w:val="center"/>
              <w:rPr>
                <w:rFonts w:hint="eastAsia" w:ascii="宋体" w:hAnsi="宋体" w:eastAsia="方正仿宋_GBK" w:cs="方正仿宋_GBK"/>
                <w:color w:val="auto"/>
                <w:sz w:val="21"/>
                <w:szCs w:val="21"/>
                <w:highlight w:val="none"/>
              </w:rPr>
            </w:pPr>
            <w:r>
              <w:rPr>
                <w:rFonts w:hint="eastAsia" w:ascii="方正楷体_GBK" w:hAnsi="方正楷体_GBK" w:eastAsia="方正楷体_GBK" w:cs="方正楷体_GBK"/>
                <w:color w:val="auto"/>
                <w:sz w:val="21"/>
                <w:szCs w:val="21"/>
                <w:highlight w:val="none"/>
                <w:lang w:eastAsia="zh-CN"/>
              </w:rPr>
              <w:t>预期</w:t>
            </w:r>
          </w:p>
        </w:tc>
      </w:tr>
      <w:bookmarkEnd w:id="62"/>
      <w:bookmarkEnd w:id="63"/>
      <w:bookmarkEnd w:id="64"/>
      <w:bookmarkEnd w:id="65"/>
      <w:bookmarkEnd w:id="66"/>
      <w:bookmarkEnd w:id="67"/>
      <w:bookmarkEnd w:id="68"/>
      <w:bookmarkEnd w:id="69"/>
      <w:bookmarkEnd w:id="70"/>
      <w:bookmarkEnd w:id="71"/>
      <w:bookmarkEnd w:id="72"/>
      <w:bookmarkEnd w:id="73"/>
      <w:bookmarkEnd w:id="81"/>
      <w:bookmarkEnd w:id="82"/>
    </w:tbl>
    <w:p>
      <w:pPr>
        <w:pStyle w:val="3"/>
        <w:spacing w:line="240" w:lineRule="auto"/>
        <w:ind w:left="0" w:leftChars="0" w:firstLine="0" w:firstLineChars="0"/>
        <w:outlineLvl w:val="9"/>
        <w:rPr>
          <w:rFonts w:hint="eastAsia" w:ascii="宋体" w:hAnsi="宋体" w:eastAsia="方正仿宋_GBK" w:cs="方正仿宋_GBK"/>
          <w:color w:val="auto"/>
          <w:sz w:val="24"/>
          <w:szCs w:val="24"/>
          <w:lang w:val="en-US" w:eastAsia="zh-CN"/>
        </w:rPr>
      </w:pPr>
      <w:bookmarkStart w:id="83" w:name="_Toc7755"/>
      <w:bookmarkStart w:id="84" w:name="_Toc2200"/>
      <w:bookmarkStart w:id="85" w:name="_Toc17930"/>
      <w:bookmarkStart w:id="86" w:name="_Toc32381"/>
      <w:bookmarkStart w:id="87" w:name="_Toc22189"/>
      <w:bookmarkStart w:id="88" w:name="_Toc18499"/>
      <w:bookmarkStart w:id="89" w:name="_Toc25511"/>
      <w:bookmarkStart w:id="90" w:name="_Toc20342"/>
      <w:bookmarkStart w:id="91" w:name="_Toc21137"/>
      <w:bookmarkStart w:id="92" w:name="_Toc20271"/>
      <w:bookmarkStart w:id="93" w:name="_Toc8633"/>
      <w:bookmarkStart w:id="94" w:name="_Toc13619"/>
      <w:bookmarkStart w:id="95" w:name="_Toc11331"/>
      <w:bookmarkStart w:id="96" w:name="_Toc16153"/>
      <w:bookmarkStart w:id="97" w:name="_Toc20547"/>
      <w:bookmarkStart w:id="98" w:name="_Toc22754"/>
      <w:bookmarkStart w:id="99" w:name="_Toc15301"/>
      <w:bookmarkStart w:id="100" w:name="_Toc31934"/>
      <w:bookmarkStart w:id="101" w:name="_Toc2800"/>
      <w:bookmarkStart w:id="102" w:name="_Toc321"/>
      <w:bookmarkStart w:id="103" w:name="_Toc6586"/>
      <w:bookmarkStart w:id="104" w:name="_Toc12040"/>
      <w:bookmarkStart w:id="105" w:name="_Toc19704"/>
      <w:bookmarkStart w:id="106" w:name="_Toc21052"/>
      <w:bookmarkStart w:id="107" w:name="_Toc9359"/>
      <w:bookmarkStart w:id="108" w:name="_Toc1899"/>
      <w:bookmarkStart w:id="109" w:name="_Toc26180"/>
      <w:bookmarkStart w:id="110" w:name="_Toc5355"/>
      <w:bookmarkStart w:id="111" w:name="_Toc7023"/>
      <w:r>
        <w:rPr>
          <w:rFonts w:hint="eastAsia" w:ascii="宋体" w:hAnsi="宋体" w:eastAsia="方正仿宋_GBK" w:cs="方正仿宋_GBK"/>
          <w:color w:val="auto"/>
          <w:sz w:val="24"/>
          <w:szCs w:val="24"/>
          <w:lang w:val="en-US" w:eastAsia="zh-CN"/>
        </w:rPr>
        <w:t>备注：带*为</w:t>
      </w:r>
      <w:r>
        <w:rPr>
          <w:rFonts w:hint="eastAsia" w:ascii="宋体" w:hAnsi="宋体" w:eastAsia="宋体" w:cs="宋体"/>
          <w:color w:val="auto"/>
          <w:sz w:val="24"/>
          <w:szCs w:val="24"/>
          <w:lang w:val="en-US" w:eastAsia="zh-CN"/>
        </w:rPr>
        <w:t>2024</w:t>
      </w:r>
      <w:r>
        <w:rPr>
          <w:rFonts w:hint="eastAsia" w:ascii="宋体" w:hAnsi="宋体" w:eastAsia="方正仿宋_GBK" w:cs="方正仿宋_GBK"/>
          <w:color w:val="auto"/>
          <w:sz w:val="24"/>
          <w:szCs w:val="24"/>
          <w:lang w:val="en-US" w:eastAsia="zh-CN"/>
        </w:rPr>
        <w:t>年数据。</w:t>
      </w:r>
    </w:p>
    <w:p>
      <w:pPr>
        <w:pStyle w:val="4"/>
        <w:keepNext/>
        <w:keepLines/>
        <w:pageBreakBefore w:val="0"/>
        <w:widowControl/>
        <w:numPr>
          <w:ilvl w:val="0"/>
          <w:numId w:val="0"/>
        </w:numPr>
        <w:wordWrap/>
        <w:overflowPunct/>
        <w:topLinePunct w:val="0"/>
        <w:autoSpaceDE/>
        <w:autoSpaceDN/>
        <w:bidi w:val="0"/>
        <w:spacing w:before="157" w:beforeLines="50" w:beforeAutospacing="0" w:after="157" w:afterLines="50" w:line="578" w:lineRule="exact"/>
        <w:ind w:left="0" w:firstLine="616" w:firstLineChars="200"/>
        <w:jc w:val="left"/>
        <w:rPr>
          <w:rFonts w:hint="eastAsia" w:ascii="宋体" w:hAnsi="宋体" w:eastAsia="方正黑体_GBK" w:cs="方正黑体_GBK"/>
          <w:b w:val="0"/>
          <w:snapToGrid/>
          <w:color w:val="auto"/>
          <w:spacing w:val="-6"/>
          <w:sz w:val="32"/>
          <w:szCs w:val="32"/>
          <w:highlight w:val="none"/>
          <w:lang w:val="en-US" w:eastAsia="zh-CN"/>
        </w:rPr>
      </w:pPr>
      <w:r>
        <w:rPr>
          <w:rFonts w:hint="eastAsia" w:ascii="宋体" w:hAnsi="宋体" w:eastAsia="方正黑体_GBK" w:cs="方正黑体_GBK"/>
          <w:b w:val="0"/>
          <w:snapToGrid/>
          <w:color w:val="auto"/>
          <w:spacing w:val="-6"/>
          <w:sz w:val="32"/>
          <w:szCs w:val="32"/>
          <w:highlight w:val="none"/>
          <w:lang w:val="en-US" w:eastAsia="zh-CN"/>
        </w:rPr>
        <w:t>二、严格保护</w:t>
      </w:r>
    </w:p>
    <w:p>
      <w:pPr>
        <w:pStyle w:val="3"/>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outlineLvl w:val="1"/>
        <w:rPr>
          <w:rFonts w:hint="eastAsia" w:ascii="宋体" w:hAnsi="宋体" w:eastAsia="方正楷体_GBK" w:cs="方正楷体_GBK"/>
          <w:snapToGrid w:val="0"/>
          <w:color w:val="auto"/>
          <w:spacing w:val="0"/>
          <w:kern w:val="0"/>
          <w:lang w:val="en-US" w:eastAsia="zh-CN"/>
        </w:rPr>
      </w:pPr>
      <w:r>
        <w:rPr>
          <w:rFonts w:hint="eastAsia" w:ascii="宋体" w:hAnsi="宋体" w:eastAsia="方正楷体_GBK" w:cs="方正楷体_GBK"/>
          <w:color w:val="auto"/>
          <w:kern w:val="0"/>
          <w:sz w:val="32"/>
          <w:szCs w:val="32"/>
          <w:lang w:eastAsia="zh-CN"/>
        </w:rPr>
        <w:t>（</w:t>
      </w:r>
      <w:r>
        <w:rPr>
          <w:rFonts w:hint="eastAsia" w:ascii="宋体" w:hAnsi="宋体" w:eastAsia="方正楷体_GBK" w:cs="方正楷体_GBK"/>
          <w:color w:val="auto"/>
          <w:kern w:val="0"/>
          <w:sz w:val="32"/>
          <w:szCs w:val="32"/>
          <w:lang w:val="en-US" w:eastAsia="zh-CN"/>
        </w:rPr>
        <w:t>三</w:t>
      </w:r>
      <w:r>
        <w:rPr>
          <w:rFonts w:hint="eastAsia" w:ascii="宋体" w:hAnsi="宋体" w:eastAsia="方正楷体_GBK" w:cs="方正楷体_GBK"/>
          <w:color w:val="auto"/>
          <w:kern w:val="0"/>
          <w:sz w:val="32"/>
          <w:szCs w:val="32"/>
          <w:lang w:eastAsia="zh-CN"/>
        </w:rPr>
        <w:t>）</w:t>
      </w:r>
      <w:r>
        <w:rPr>
          <w:rFonts w:hint="eastAsia" w:ascii="宋体" w:hAnsi="宋体" w:eastAsia="方正楷体_GBK" w:cs="方正楷体_GBK"/>
          <w:snapToGrid w:val="0"/>
          <w:color w:val="auto"/>
          <w:spacing w:val="0"/>
          <w:kern w:val="0"/>
          <w:lang w:eastAsia="zh-CN"/>
        </w:rPr>
        <w:t>全面</w:t>
      </w:r>
      <w:r>
        <w:rPr>
          <w:rFonts w:hint="eastAsia" w:ascii="宋体" w:hAnsi="宋体" w:eastAsia="方正楷体_GBK" w:cs="方正楷体_GBK"/>
          <w:snapToGrid w:val="0"/>
          <w:color w:val="auto"/>
          <w:spacing w:val="0"/>
          <w:kern w:val="0"/>
          <w:lang w:val="en-US" w:eastAsia="zh-CN"/>
        </w:rPr>
        <w:t>保护</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严格限制天然林采伐，严禁擅自改变天然林用途，禁止毁林开垦、非法侵占天然林。将所有天然林和非天然公益林纳入森林资源统一管护体系，</w:t>
      </w:r>
      <w:r>
        <w:rPr>
          <w:rFonts w:hint="eastAsia" w:ascii="宋体" w:hAnsi="宋体" w:eastAsia="方正仿宋_GBK" w:cs="方正仿宋_GBK"/>
          <w:color w:val="auto"/>
          <w:sz w:val="32"/>
          <w:szCs w:val="32"/>
          <w:lang w:eastAsia="zh-CN"/>
        </w:rPr>
        <w:t>科学合理划分管护网格，对关键区域和薄弱环节，实施差异化、精准化管护。明确各级管护责任主体和管理职责，将管护任务逐级分解落实到山头地块、落实到责任人，</w:t>
      </w:r>
      <w:r>
        <w:rPr>
          <w:rFonts w:hint="eastAsia" w:ascii="宋体" w:hAnsi="宋体" w:eastAsia="方正仿宋_GBK" w:cs="方正仿宋_GBK"/>
          <w:color w:val="auto"/>
          <w:sz w:val="32"/>
          <w:szCs w:val="32"/>
          <w:lang w:val="en-US" w:eastAsia="zh-CN"/>
        </w:rPr>
        <w:t>层层压实管护责任。</w:t>
      </w:r>
      <w:r>
        <w:rPr>
          <w:rFonts w:hint="eastAsia" w:ascii="宋体" w:hAnsi="宋体" w:eastAsia="方正仿宋_GBK" w:cs="方正仿宋_GBK"/>
          <w:color w:val="auto"/>
          <w:sz w:val="32"/>
          <w:szCs w:val="32"/>
          <w:lang w:eastAsia="zh-CN"/>
        </w:rPr>
        <w:t>建立健全护林员绩效</w:t>
      </w:r>
      <w:r>
        <w:rPr>
          <w:rFonts w:hint="eastAsia" w:ascii="宋体" w:hAnsi="宋体" w:eastAsia="方正仿宋_GBK" w:cs="方正仿宋_GBK"/>
          <w:color w:val="auto"/>
          <w:sz w:val="32"/>
          <w:szCs w:val="32"/>
          <w:lang w:val="en-US" w:eastAsia="zh-CN"/>
        </w:rPr>
        <w:t>评价</w:t>
      </w:r>
      <w:r>
        <w:rPr>
          <w:rFonts w:hint="eastAsia" w:ascii="宋体" w:hAnsi="宋体" w:eastAsia="方正仿宋_GBK" w:cs="方正仿宋_GBK"/>
          <w:color w:val="auto"/>
          <w:sz w:val="32"/>
          <w:szCs w:val="32"/>
          <w:lang w:eastAsia="zh-CN"/>
        </w:rPr>
        <w:t>与监督机制，将管护成效与绩效奖惩挂钩，形成正向激励与底线约束并重的闭环管理，确保护林员履职尽责。</w:t>
      </w:r>
    </w:p>
    <w:p>
      <w:pPr>
        <w:pStyle w:val="3"/>
        <w:kinsoku/>
        <w:autoSpaceDE/>
        <w:autoSpaceDN/>
        <w:adjustRightInd/>
        <w:snapToGrid/>
        <w:spacing w:line="578" w:lineRule="exact"/>
        <w:ind w:left="0" w:leftChars="0" w:firstLine="640" w:firstLineChars="200"/>
        <w:jc w:val="both"/>
        <w:textAlignment w:val="auto"/>
        <w:outlineLvl w:val="1"/>
        <w:rPr>
          <w:rFonts w:hint="eastAsia" w:ascii="宋体" w:hAnsi="宋体" w:eastAsia="方正楷体_GBK" w:cs="方正楷体_GBK"/>
          <w:color w:val="auto"/>
          <w:sz w:val="32"/>
          <w:szCs w:val="32"/>
          <w:lang w:val="en-US" w:eastAsia="zh-CN"/>
        </w:rPr>
      </w:pP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四</w:t>
      </w: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分类管控</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依据生态区位重要性、自然恢复能力、物种珍稀性等因素，将位于自然保护地核心保护区、饮用水水源一级保护区并划入国家级公益林的天然林，以及保存完好的原始林，确定为天然林重点保护区域。重点保护区域外的天然林和非天然公益林，为一般保护区域。</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——重点保护区域。实行封禁保护</w:t>
      </w:r>
      <w:r>
        <w:rPr>
          <w:rFonts w:hint="eastAsia" w:ascii="宋体" w:hAnsi="宋体" w:eastAsia="方正仿宋_GBK" w:cs="方正仿宋_GBK"/>
          <w:color w:val="auto"/>
          <w:sz w:val="32"/>
          <w:szCs w:val="32"/>
          <w:lang w:eastAsia="zh-CN"/>
        </w:rPr>
        <w:t>。</w:t>
      </w:r>
      <w:r>
        <w:rPr>
          <w:rFonts w:hint="eastAsia" w:ascii="宋体" w:hAnsi="宋体" w:eastAsia="方正仿宋_GBK" w:cs="方正仿宋_GBK"/>
          <w:color w:val="auto"/>
          <w:sz w:val="32"/>
          <w:szCs w:val="32"/>
          <w:lang w:val="en-US" w:eastAsia="zh-CN"/>
        </w:rPr>
        <w:t>除国防建设、国家重大工程项目建设以及在饮用水水源一级保护区内建设供水和保护水源的设施等特殊需要外，禁止占用重点保护区域内天然林地；除林业有害生物防治、森林防灭火、生态廊道连通、重要栖息地恢复、因重大自然灾害需采取人工清理恢复等维护生态系统健康的必要措施外，禁止开展其他生产经营活动；除科学研究、调查监测、测绘导航、防灾减灾救灾、军事国防、疫情防控等活动以及法律法规允许的其他情形外，最大程度限制人为活动。</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val="en-US" w:eastAsia="zh-CN"/>
        </w:rPr>
        <w:t>——一般保护区域。建设项目应该不占或者少占一般保护区域林地，确需使用的，依法依规办理审核审批手续。在全面保护前提下，科学开展森林经营活动，天然林以自然恢复为主，人工修复为辅，促进正向演替；非天然公益林按照近自然理念经营，提升生态服务功能。按林下种植、林下养殖、林产品采集和森林景观利用等类型，科学利用林地林木空间资源，适度发展生态富民产业。</w:t>
      </w:r>
    </w:p>
    <w:p>
      <w:pPr>
        <w:pStyle w:val="3"/>
        <w:keepNext w:val="0"/>
        <w:keepLines w:val="0"/>
        <w:pageBreakBefore w:val="0"/>
        <w:widowControl/>
        <w:kinsoku/>
        <w:wordWrap/>
        <w:overflowPunct/>
        <w:topLinePunct w:val="0"/>
        <w:autoSpaceDE/>
        <w:autoSpaceDN/>
        <w:bidi w:val="0"/>
        <w:adjustRightInd/>
        <w:snapToGrid/>
        <w:spacing w:before="0" w:after="0" w:line="578" w:lineRule="exact"/>
        <w:ind w:left="0" w:leftChars="0" w:firstLine="640" w:firstLineChars="200"/>
        <w:jc w:val="both"/>
        <w:textAlignment w:val="auto"/>
        <w:outlineLvl w:val="1"/>
        <w:rPr>
          <w:rFonts w:hint="eastAsia" w:ascii="宋体" w:hAnsi="宋体" w:eastAsia="方正楷体_GBK" w:cs="方正楷体_GBK"/>
          <w:b w:val="0"/>
          <w:bCs w:val="0"/>
          <w:color w:val="auto"/>
          <w:kern w:val="0"/>
          <w:sz w:val="32"/>
          <w:szCs w:val="32"/>
          <w:lang w:val="en-US" w:eastAsia="zh-CN"/>
        </w:rPr>
      </w:pPr>
      <w:r>
        <w:rPr>
          <w:rFonts w:hint="eastAsia" w:ascii="宋体" w:hAnsi="宋体" w:eastAsia="方正楷体_GBK" w:cs="方正楷体_GBK"/>
          <w:color w:val="auto"/>
          <w:kern w:val="0"/>
          <w:lang w:eastAsia="zh-CN"/>
        </w:rPr>
        <w:t>（</w:t>
      </w:r>
      <w:r>
        <w:rPr>
          <w:rFonts w:hint="eastAsia" w:ascii="宋体" w:hAnsi="宋体" w:eastAsia="方正楷体_GBK" w:cs="方正楷体_GBK"/>
          <w:color w:val="auto"/>
          <w:kern w:val="0"/>
          <w:lang w:val="en-US" w:eastAsia="zh-CN"/>
        </w:rPr>
        <w:t>五</w:t>
      </w:r>
      <w:r>
        <w:rPr>
          <w:rFonts w:hint="eastAsia" w:ascii="宋体" w:hAnsi="宋体" w:eastAsia="方正楷体_GBK" w:cs="方正楷体_GBK"/>
          <w:color w:val="auto"/>
          <w:kern w:val="0"/>
          <w:lang w:eastAsia="zh-CN"/>
        </w:rPr>
        <w:t>）</w:t>
      </w:r>
      <w:r>
        <w:rPr>
          <w:rFonts w:hint="eastAsia" w:ascii="宋体" w:hAnsi="宋体" w:eastAsia="方正楷体_GBK" w:cs="方正楷体_GBK"/>
          <w:b w:val="0"/>
          <w:bCs w:val="0"/>
          <w:color w:val="auto"/>
          <w:kern w:val="0"/>
          <w:sz w:val="32"/>
          <w:szCs w:val="32"/>
          <w:lang w:val="en-US" w:eastAsia="zh-CN"/>
        </w:rPr>
        <w:t>任务落实</w:t>
      </w:r>
    </w:p>
    <w:p>
      <w:pPr>
        <w:pStyle w:val="2"/>
        <w:keepNext w:val="0"/>
        <w:keepLines w:val="0"/>
        <w:pageBreakBefore w:val="0"/>
        <w:widowControl/>
        <w:kinsoku/>
        <w:wordWrap/>
        <w:overflowPunct/>
        <w:topLinePunct w:val="0"/>
        <w:autoSpaceDE/>
        <w:autoSpaceDN/>
        <w:bidi w:val="0"/>
        <w:adjustRightInd/>
        <w:snapToGrid/>
        <w:ind w:firstLine="640" w:firstLineChars="200"/>
        <w:textAlignment w:val="auto"/>
        <w:outlineLvl w:val="9"/>
        <w:rPr>
          <w:rFonts w:hint="default" w:ascii="宋体" w:hAnsi="宋体" w:eastAsia="方正仿宋_GBK" w:cs="宋体"/>
          <w:color w:val="auto"/>
          <w:kern w:val="44"/>
          <w:lang w:val="en-US" w:eastAsia="zh-CN"/>
        </w:rPr>
      </w:pPr>
      <w:r>
        <w:rPr>
          <w:rFonts w:hint="eastAsia" w:ascii="宋体" w:hAnsi="宋体" w:eastAsia="方正仿宋_GBK" w:cs="方正仿宋_GBK"/>
          <w:color w:val="auto"/>
          <w:sz w:val="32"/>
          <w:szCs w:val="32"/>
          <w:lang w:eastAsia="zh-CN"/>
        </w:rPr>
        <w:t>将省级以上公益林、国有天然商品林以及已落实管护责任的非国有天然商品林纳入规划管护任务范围。建立管护任务年度动态调整机制，根据年度森林资源变化、公益林变更和优化等情况，结合中央财政资金年度项目入库及省级财政预算申报，</w:t>
      </w:r>
      <w:r>
        <w:rPr>
          <w:rFonts w:hint="eastAsia" w:ascii="宋体" w:hAnsi="宋体" w:eastAsia="方正仿宋_GBK" w:cs="方正仿宋_GBK"/>
          <w:color w:val="auto"/>
          <w:sz w:val="32"/>
          <w:szCs w:val="32"/>
          <w:lang w:val="en-US" w:eastAsia="zh-CN"/>
        </w:rPr>
        <w:t>及</w:t>
      </w:r>
      <w:r>
        <w:rPr>
          <w:rFonts w:hint="eastAsia" w:ascii="宋体" w:hAnsi="宋体" w:eastAsia="方正仿宋_GBK" w:cs="方正仿宋_GBK"/>
          <w:color w:val="auto"/>
          <w:sz w:val="32"/>
          <w:szCs w:val="32"/>
          <w:lang w:eastAsia="zh-CN"/>
        </w:rPr>
        <w:t>时更新年度天然林公益林管护任务，测算年度资金规模，实现资源现状、管护任务、年度资金投入的动态衔接。实行落地上图管理，以森林资源管理“一张图”为基础，将任务落实到具体地块图斑，明确管护边界、责任主体。</w:t>
      </w:r>
      <w:bookmarkEnd w:id="61"/>
      <w:bookmarkEnd w:id="74"/>
      <w:bookmarkEnd w:id="75"/>
      <w:bookmarkEnd w:id="76"/>
      <w:bookmarkEnd w:id="77"/>
      <w:bookmarkEnd w:id="78"/>
      <w:bookmarkEnd w:id="79"/>
      <w:bookmarkEnd w:id="80"/>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Start w:id="112" w:name="_Toc1902"/>
      <w:bookmarkStart w:id="113" w:name="_Toc12338"/>
      <w:bookmarkStart w:id="114" w:name="_Toc19750"/>
      <w:bookmarkStart w:id="115" w:name="_Toc1633"/>
      <w:bookmarkStart w:id="116" w:name="_Toc28057"/>
      <w:bookmarkStart w:id="117" w:name="_Toc16605"/>
      <w:bookmarkStart w:id="118" w:name="_Toc6512"/>
      <w:bookmarkStart w:id="119" w:name="_Toc18723"/>
      <w:bookmarkStart w:id="120" w:name="_Toc366"/>
      <w:bookmarkStart w:id="121" w:name="_Toc30701"/>
      <w:bookmarkStart w:id="122" w:name="_Toc26637"/>
      <w:bookmarkStart w:id="123" w:name="_Toc31437"/>
      <w:bookmarkStart w:id="124" w:name="_Toc30503"/>
      <w:bookmarkStart w:id="125" w:name="_Toc23405"/>
      <w:bookmarkStart w:id="126" w:name="_Toc31749"/>
      <w:bookmarkStart w:id="127" w:name="_Toc27002"/>
      <w:bookmarkStart w:id="128" w:name="_Toc13999"/>
      <w:bookmarkStart w:id="129" w:name="_Toc15047"/>
      <w:bookmarkStart w:id="130" w:name="_Toc24496"/>
      <w:bookmarkStart w:id="131" w:name="_Toc16373"/>
      <w:bookmarkStart w:id="132" w:name="_Toc5726"/>
      <w:bookmarkStart w:id="133" w:name="_Toc32750"/>
      <w:bookmarkStart w:id="134" w:name="_Toc12594"/>
      <w:bookmarkStart w:id="135" w:name="_Toc3053"/>
      <w:bookmarkStart w:id="136" w:name="_Toc4533"/>
      <w:bookmarkStart w:id="137" w:name="_Toc31416"/>
      <w:bookmarkStart w:id="138" w:name="_Toc24625"/>
      <w:bookmarkStart w:id="139" w:name="_Toc17810"/>
      <w:bookmarkStart w:id="140" w:name="_Toc22589"/>
      <w:bookmarkStart w:id="141" w:name="_Toc28615"/>
      <w:bookmarkStart w:id="142" w:name="_Toc19845"/>
      <w:bookmarkStart w:id="143" w:name="_Toc190269643"/>
      <w:bookmarkStart w:id="144" w:name="_Toc8954"/>
      <w:bookmarkStart w:id="145" w:name="_Toc1814"/>
      <w:bookmarkStart w:id="146" w:name="_Toc13922"/>
    </w:p>
    <w:p>
      <w:pPr>
        <w:pStyle w:val="3"/>
        <w:keepNext w:val="0"/>
        <w:keepLines w:val="0"/>
        <w:pageBreakBefore w:val="0"/>
        <w:widowControl/>
        <w:kinsoku/>
        <w:wordWrap/>
        <w:overflowPunct/>
        <w:topLinePunct w:val="0"/>
        <w:autoSpaceDE/>
        <w:autoSpaceDN/>
        <w:bidi w:val="0"/>
        <w:adjustRightInd/>
        <w:snapToGrid/>
        <w:spacing w:line="578" w:lineRule="exact"/>
        <w:ind w:left="0" w:leftChars="0" w:firstLine="640" w:firstLineChars="200"/>
        <w:jc w:val="both"/>
        <w:textAlignment w:val="auto"/>
        <w:outlineLvl w:val="1"/>
        <w:rPr>
          <w:rFonts w:hint="eastAsia" w:ascii="宋体" w:hAnsi="宋体" w:eastAsia="方正楷体_GBK" w:cs="方正楷体_GBK"/>
          <w:color w:val="auto"/>
          <w:lang w:val="en-US" w:eastAsia="zh-CN"/>
        </w:rPr>
      </w:pPr>
      <w:r>
        <w:rPr>
          <w:rFonts w:hint="eastAsia" w:ascii="宋体" w:hAnsi="宋体" w:eastAsia="方正楷体_GBK" w:cs="方正楷体_GBK"/>
          <w:color w:val="auto"/>
          <w:lang w:val="en-US" w:eastAsia="zh-CN"/>
        </w:rPr>
        <w:t>（六）能力提升</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全面加强天然林管护能力建设，系统提升管护队伍专业化水平、基础设施支撑和智能化管护能力，为天然林保护修复提供坚实保障。加强管护人员职业培训和管理，系统开展专业知识、职业技能培训和实战演练，提升其专业素养和履职能力，打造高素质管护队伍。统筹各级项目资金推进管护用房新建改造，配备必要的生活、交通、通信等设施设备，切实改善一线管护人员工作生活条件。依托全省林草感知系统，融合卫星遥感监测、无人机巡护、视频监控、智能传感设备和护林员手持终端等技术手段，推广应用生态护林员联动管理系统，逐步配备智能巡护终端、数据采集仪等设备，构建空天地一体化管护网络。</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pPr>
              <w:widowControl/>
              <w:numPr>
                <w:ilvl w:val="-1"/>
                <w:numId w:val="0"/>
              </w:numPr>
              <w:kinsoku/>
              <w:autoSpaceDE/>
              <w:autoSpaceDN/>
              <w:adjustRightInd/>
              <w:snapToGrid w:val="0"/>
              <w:spacing w:before="0" w:beforeLines="-2147483648" w:beforeAutospacing="0" w:afterLines="-2147483648" w:line="400" w:lineRule="exact"/>
              <w:ind w:firstLine="0" w:firstLineChars="0"/>
              <w:jc w:val="center"/>
              <w:textAlignment w:val="center"/>
              <w:outlineLvl w:val="9"/>
              <w:rPr>
                <w:rFonts w:hint="eastAsia" w:ascii="方正楷体_GBK" w:hAnsi="方正楷体_GBK" w:eastAsia="方正楷体_GBK" w:cs="方正楷体_GBK"/>
                <w:b w:val="0"/>
                <w:bCs w:val="0"/>
                <w:snapToGrid w:val="0"/>
                <w:color w:val="auto"/>
                <w:kern w:val="0"/>
                <w:sz w:val="28"/>
                <w:szCs w:val="28"/>
                <w:highlight w:val="none"/>
                <w:vertAlign w:val="baseline"/>
                <w:lang w:val="en-US" w:eastAsia="zh-CN" w:bidi="ar-SA"/>
              </w:rPr>
            </w:pPr>
            <w:r>
              <w:rPr>
                <w:rFonts w:hint="eastAsia" w:ascii="宋体" w:hAnsi="宋体" w:eastAsia="方正楷体_GBK" w:cs="方正楷体_GBK"/>
                <w:b/>
                <w:bCs/>
                <w:snapToGrid/>
                <w:color w:val="auto"/>
                <w:kern w:val="2"/>
                <w:sz w:val="28"/>
                <w:szCs w:val="28"/>
                <w:highlight w:val="none"/>
                <w:vertAlign w:val="baseline"/>
                <w:lang w:val="en-US" w:eastAsia="zh-CN" w:bidi="ar-SA"/>
              </w:rPr>
              <w:t>专栏2-</w:t>
            </w:r>
            <w:r>
              <w:rPr>
                <w:rFonts w:hint="eastAsia" w:eastAsia="方正楷体_GBK" w:cs="方正楷体_GBK"/>
                <w:b/>
                <w:bCs/>
                <w:snapToGrid/>
                <w:color w:val="auto"/>
                <w:kern w:val="2"/>
                <w:sz w:val="28"/>
                <w:szCs w:val="28"/>
                <w:highlight w:val="none"/>
                <w:vertAlign w:val="baseline"/>
                <w:lang w:val="en-US" w:eastAsia="zh-CN" w:bidi="ar-SA"/>
              </w:rPr>
              <w:t>1</w:t>
            </w:r>
            <w:r>
              <w:rPr>
                <w:rFonts w:hint="eastAsia" w:ascii="宋体" w:hAnsi="宋体" w:eastAsia="方正楷体_GBK" w:cs="方正楷体_GBK"/>
                <w:b/>
                <w:bCs/>
                <w:snapToGrid/>
                <w:color w:val="auto"/>
                <w:kern w:val="2"/>
                <w:sz w:val="28"/>
                <w:szCs w:val="28"/>
                <w:highlight w:val="none"/>
                <w:vertAlign w:val="baseline"/>
                <w:lang w:val="en-US" w:eastAsia="zh-CN" w:bidi="ar-SA"/>
              </w:rPr>
              <w:t>：管护能力提升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tcPr>
          <w:p>
            <w:pPr>
              <w:widowControl w:val="0"/>
              <w:numPr>
                <w:ilvl w:val="-1"/>
                <w:numId w:val="0"/>
              </w:numPr>
              <w:kinsoku/>
              <w:autoSpaceDE/>
              <w:autoSpaceDN/>
              <w:adjustRightInd/>
              <w:snapToGrid w:val="0"/>
              <w:spacing w:line="400" w:lineRule="exact"/>
              <w:ind w:firstLine="481" w:firstLineChars="200"/>
              <w:jc w:val="left"/>
              <w:textAlignment w:val="auto"/>
              <w:outlineLvl w:val="9"/>
              <w:rPr>
                <w:rFonts w:hint="eastAsia" w:ascii="宋体" w:hAnsi="宋体" w:eastAsia="方正楷体_GBK" w:cs="方正楷体_GBK"/>
                <w:b w:val="0"/>
                <w:bCs w:val="0"/>
                <w:snapToGrid w:val="0"/>
                <w:color w:val="auto"/>
                <w:kern w:val="0"/>
                <w:sz w:val="24"/>
                <w:szCs w:val="24"/>
                <w:highlight w:val="none"/>
                <w:lang w:val="en-US" w:eastAsia="zh-CN" w:bidi="ar-SA"/>
              </w:rPr>
            </w:pPr>
            <w:r>
              <w:rPr>
                <w:rFonts w:hint="eastAsia" w:ascii="宋体" w:hAnsi="宋体" w:eastAsia="方正楷体_GBK" w:cs="方正楷体_GBK"/>
                <w:b/>
                <w:bCs/>
                <w:snapToGrid w:val="0"/>
                <w:color w:val="auto"/>
                <w:kern w:val="0"/>
                <w:sz w:val="24"/>
                <w:szCs w:val="24"/>
                <w:highlight w:val="none"/>
                <w:lang w:val="en-US" w:eastAsia="zh-CN" w:bidi="ar-SA"/>
              </w:rPr>
              <w:t>1.</w:t>
            </w:r>
            <w:r>
              <w:rPr>
                <w:rFonts w:hint="eastAsia" w:eastAsia="方正楷体_GBK" w:cs="方正楷体_GBK"/>
                <w:b/>
                <w:bCs/>
                <w:color w:val="auto"/>
                <w:sz w:val="24"/>
                <w:szCs w:val="24"/>
                <w:highlight w:val="none"/>
                <w:lang w:eastAsia="zh-CN"/>
              </w:rPr>
              <w:t>职工专业能力和素质培训</w:t>
            </w:r>
            <w:r>
              <w:rPr>
                <w:rFonts w:hint="eastAsia" w:ascii="宋体" w:hAnsi="宋体" w:eastAsia="方正楷体_GBK" w:cs="方正楷体_GBK"/>
                <w:b/>
                <w:bCs/>
                <w:snapToGrid w:val="0"/>
                <w:color w:val="auto"/>
                <w:kern w:val="0"/>
                <w:sz w:val="24"/>
                <w:szCs w:val="24"/>
                <w:highlight w:val="none"/>
                <w:lang w:val="en-US" w:eastAsia="zh-CN" w:bidi="ar-SA"/>
              </w:rPr>
              <w:t>：</w:t>
            </w:r>
            <w:r>
              <w:rPr>
                <w:rFonts w:hint="eastAsia" w:eastAsia="方正楷体_GBK" w:cs="方正楷体_GBK"/>
                <w:b w:val="0"/>
                <w:bCs w:val="0"/>
                <w:snapToGrid w:val="0"/>
                <w:color w:val="auto"/>
                <w:kern w:val="0"/>
                <w:sz w:val="24"/>
                <w:szCs w:val="24"/>
                <w:highlight w:val="none"/>
                <w:lang w:val="en-US" w:eastAsia="zh-CN" w:bidi="ar-SA"/>
              </w:rPr>
              <w:t>组织</w:t>
            </w:r>
            <w:r>
              <w:rPr>
                <w:rFonts w:hint="eastAsia" w:eastAsia="方正楷体_GBK" w:cs="方正楷体_GBK"/>
                <w:b w:val="0"/>
                <w:bCs w:val="0"/>
                <w:color w:val="auto"/>
                <w:sz w:val="24"/>
                <w:szCs w:val="24"/>
                <w:highlight w:val="none"/>
                <w:lang w:eastAsia="zh-CN"/>
              </w:rPr>
              <w:t>天然林管护知识、岗位职业技能、法律法规、野外作业规范、智能设备操作、应急处置实操、职业素养及实战演练等培训</w:t>
            </w:r>
            <w:r>
              <w:rPr>
                <w:rFonts w:hint="eastAsia" w:ascii="宋体" w:hAnsi="宋体" w:eastAsia="方正楷体_GBK" w:cs="方正楷体_GBK"/>
                <w:b w:val="0"/>
                <w:bCs w:val="0"/>
                <w:snapToGrid w:val="0"/>
                <w:color w:val="auto"/>
                <w:kern w:val="0"/>
                <w:sz w:val="24"/>
                <w:szCs w:val="24"/>
                <w:highlight w:val="none"/>
                <w:lang w:val="en-US" w:eastAsia="zh-CN" w:bidi="ar-SA"/>
              </w:rPr>
              <w:t>。</w:t>
            </w:r>
          </w:p>
          <w:p>
            <w:pPr>
              <w:widowControl w:val="0"/>
              <w:numPr>
                <w:ilvl w:val="-1"/>
                <w:numId w:val="0"/>
              </w:numPr>
              <w:kinsoku/>
              <w:autoSpaceDE/>
              <w:autoSpaceDN/>
              <w:adjustRightInd/>
              <w:snapToGrid w:val="0"/>
              <w:spacing w:line="400" w:lineRule="exact"/>
              <w:ind w:firstLine="481" w:firstLineChars="200"/>
              <w:jc w:val="left"/>
              <w:textAlignment w:val="auto"/>
              <w:outlineLvl w:val="9"/>
              <w:rPr>
                <w:rFonts w:hint="eastAsia" w:ascii="宋体" w:hAnsi="宋体" w:eastAsia="方正楷体_GBK" w:cs="方正楷体_GBK"/>
                <w:b w:val="0"/>
                <w:bCs w:val="0"/>
                <w:snapToGrid w:val="0"/>
                <w:color w:val="auto"/>
                <w:kern w:val="0"/>
                <w:sz w:val="24"/>
                <w:szCs w:val="24"/>
                <w:highlight w:val="none"/>
                <w:lang w:val="en-US" w:eastAsia="zh-CN" w:bidi="ar-SA"/>
              </w:rPr>
            </w:pPr>
            <w:r>
              <w:rPr>
                <w:rFonts w:hint="eastAsia" w:eastAsia="方正楷体_GBK" w:cs="方正楷体_GBK"/>
                <w:b/>
                <w:bCs/>
                <w:snapToGrid w:val="0"/>
                <w:color w:val="auto"/>
                <w:kern w:val="0"/>
                <w:sz w:val="24"/>
                <w:szCs w:val="24"/>
                <w:highlight w:val="none"/>
                <w:lang w:val="en-US" w:eastAsia="zh-CN" w:bidi="ar-SA"/>
              </w:rPr>
              <w:t>2</w:t>
            </w:r>
            <w:r>
              <w:rPr>
                <w:rFonts w:hint="eastAsia" w:ascii="宋体" w:hAnsi="宋体" w:eastAsia="方正楷体_GBK" w:cs="方正楷体_GBK"/>
                <w:b/>
                <w:bCs/>
                <w:snapToGrid w:val="0"/>
                <w:color w:val="auto"/>
                <w:kern w:val="0"/>
                <w:sz w:val="24"/>
                <w:szCs w:val="24"/>
                <w:highlight w:val="none"/>
                <w:lang w:val="en-US" w:eastAsia="zh-CN" w:bidi="ar-SA"/>
              </w:rPr>
              <w:t>.管护基础设施设备：</w:t>
            </w:r>
            <w:r>
              <w:rPr>
                <w:rFonts w:hint="eastAsia" w:ascii="宋体" w:hAnsi="宋体" w:eastAsia="方正楷体_GBK" w:cs="方正楷体_GBK"/>
                <w:b w:val="0"/>
                <w:bCs w:val="0"/>
                <w:snapToGrid w:val="0"/>
                <w:color w:val="auto"/>
                <w:kern w:val="0"/>
                <w:sz w:val="24"/>
                <w:szCs w:val="24"/>
                <w:highlight w:val="none"/>
                <w:lang w:val="en-US" w:eastAsia="zh-CN" w:bidi="ar-SA"/>
              </w:rPr>
              <w:t>管护站点、管护卡点、管护标识碑（牌）、围栏、储水设施设备等。</w:t>
            </w:r>
          </w:p>
          <w:p>
            <w:pPr>
              <w:widowControl w:val="0"/>
              <w:numPr>
                <w:ilvl w:val="-1"/>
                <w:numId w:val="0"/>
              </w:numPr>
              <w:kinsoku/>
              <w:autoSpaceDE/>
              <w:autoSpaceDN/>
              <w:adjustRightInd/>
              <w:snapToGrid w:val="0"/>
              <w:spacing w:line="400" w:lineRule="exact"/>
              <w:ind w:firstLine="481" w:firstLineChars="200"/>
              <w:jc w:val="left"/>
              <w:textAlignment w:val="auto"/>
              <w:outlineLvl w:val="9"/>
              <w:rPr>
                <w:rFonts w:hint="eastAsia" w:ascii="宋体" w:hAnsi="宋体" w:eastAsia="方正楷体_GBK" w:cs="方正楷体_GBK"/>
                <w:b w:val="0"/>
                <w:bCs w:val="0"/>
                <w:snapToGrid w:val="0"/>
                <w:color w:val="auto"/>
                <w:kern w:val="0"/>
                <w:sz w:val="24"/>
                <w:szCs w:val="24"/>
                <w:highlight w:val="none"/>
                <w:lang w:val="en-US" w:eastAsia="zh-CN" w:bidi="ar-SA"/>
              </w:rPr>
            </w:pPr>
            <w:r>
              <w:rPr>
                <w:rFonts w:hint="eastAsia" w:eastAsia="方正楷体_GBK" w:cs="方正楷体_GBK"/>
                <w:b/>
                <w:bCs/>
                <w:snapToGrid w:val="0"/>
                <w:color w:val="auto"/>
                <w:kern w:val="0"/>
                <w:sz w:val="24"/>
                <w:szCs w:val="24"/>
                <w:highlight w:val="none"/>
                <w:lang w:val="en-US" w:eastAsia="zh-CN" w:bidi="ar-SA"/>
              </w:rPr>
              <w:t>3</w:t>
            </w:r>
            <w:r>
              <w:rPr>
                <w:rFonts w:hint="eastAsia" w:ascii="宋体" w:hAnsi="宋体" w:eastAsia="方正楷体_GBK" w:cs="方正楷体_GBK"/>
                <w:b/>
                <w:bCs/>
                <w:snapToGrid w:val="0"/>
                <w:color w:val="auto"/>
                <w:kern w:val="0"/>
                <w:sz w:val="24"/>
                <w:szCs w:val="24"/>
                <w:highlight w:val="none"/>
                <w:lang w:val="en-US" w:eastAsia="zh-CN" w:bidi="ar-SA"/>
              </w:rPr>
              <w:t>.智能化管护设施设备：</w:t>
            </w:r>
            <w:r>
              <w:rPr>
                <w:rFonts w:hint="eastAsia" w:ascii="宋体" w:hAnsi="宋体" w:eastAsia="方正楷体_GBK" w:cs="方正楷体_GBK"/>
                <w:b w:val="0"/>
                <w:bCs w:val="0"/>
                <w:snapToGrid w:val="0"/>
                <w:color w:val="auto"/>
                <w:kern w:val="0"/>
                <w:sz w:val="24"/>
                <w:szCs w:val="24"/>
                <w:highlight w:val="none"/>
                <w:lang w:val="en-US" w:eastAsia="zh-CN" w:bidi="ar-SA"/>
              </w:rPr>
              <w:t>智能管护系统、森林资源管护数据库、卫星遥感影像处理系统、无人机、视频监控平台、图形工作站、图像采集仪、数据采集仪、卫星电话、对讲机、通信基站、网络设施设备等。</w:t>
            </w:r>
          </w:p>
          <w:p>
            <w:pPr>
              <w:widowControl w:val="0"/>
              <w:numPr>
                <w:ilvl w:val="-1"/>
                <w:numId w:val="0"/>
              </w:numPr>
              <w:kinsoku/>
              <w:autoSpaceDE/>
              <w:autoSpaceDN/>
              <w:adjustRightInd/>
              <w:snapToGrid w:val="0"/>
              <w:spacing w:line="400" w:lineRule="exact"/>
              <w:ind w:firstLine="481" w:firstLineChars="200"/>
              <w:jc w:val="left"/>
              <w:textAlignment w:val="auto"/>
              <w:outlineLvl w:val="9"/>
              <w:rPr>
                <w:rFonts w:hint="eastAsia" w:ascii="方正楷体_GBK" w:hAnsi="方正楷体_GBK" w:eastAsia="方正楷体_GBK" w:cs="方正楷体_GBK"/>
                <w:b w:val="0"/>
                <w:bCs w:val="0"/>
                <w:snapToGrid w:val="0"/>
                <w:color w:val="auto"/>
                <w:kern w:val="0"/>
                <w:sz w:val="28"/>
                <w:szCs w:val="28"/>
                <w:highlight w:val="none"/>
                <w:vertAlign w:val="baseline"/>
                <w:lang w:val="en-US" w:eastAsia="zh-CN" w:bidi="ar-SA"/>
              </w:rPr>
            </w:pPr>
            <w:r>
              <w:rPr>
                <w:rFonts w:hint="eastAsia" w:eastAsia="方正楷体_GBK" w:cs="方正楷体_GBK"/>
                <w:b/>
                <w:bCs/>
                <w:snapToGrid w:val="0"/>
                <w:color w:val="auto"/>
                <w:kern w:val="0"/>
                <w:sz w:val="24"/>
                <w:szCs w:val="24"/>
                <w:highlight w:val="none"/>
                <w:lang w:val="en-US" w:eastAsia="zh-CN" w:bidi="ar-SA"/>
              </w:rPr>
              <w:t>4</w:t>
            </w:r>
            <w:r>
              <w:rPr>
                <w:rFonts w:hint="eastAsia" w:ascii="宋体" w:hAnsi="宋体" w:eastAsia="方正楷体_GBK" w:cs="方正楷体_GBK"/>
                <w:b/>
                <w:bCs/>
                <w:snapToGrid w:val="0"/>
                <w:color w:val="auto"/>
                <w:kern w:val="0"/>
                <w:sz w:val="24"/>
                <w:szCs w:val="24"/>
                <w:highlight w:val="none"/>
                <w:lang w:val="en-US" w:eastAsia="zh-CN" w:bidi="ar-SA"/>
              </w:rPr>
              <w:t>.应急处理设施设备：</w:t>
            </w:r>
            <w:r>
              <w:rPr>
                <w:rFonts w:hint="eastAsia" w:ascii="宋体" w:hAnsi="宋体" w:eastAsia="方正楷体_GBK" w:cs="方正楷体_GBK"/>
                <w:b w:val="0"/>
                <w:bCs w:val="0"/>
                <w:snapToGrid w:val="0"/>
                <w:color w:val="auto"/>
                <w:kern w:val="0"/>
                <w:sz w:val="24"/>
                <w:szCs w:val="24"/>
                <w:highlight w:val="none"/>
                <w:lang w:val="en-US" w:eastAsia="zh-CN" w:bidi="ar-SA"/>
              </w:rPr>
              <w:t>野外急救箱、应急照明灯、夜视仪、便携式发电机、应急水泵、应急抽水机、应急水桶、担架、应急安全防护设备等。</w:t>
            </w:r>
          </w:p>
        </w:tc>
      </w:tr>
    </w:tbl>
    <w:p>
      <w:pPr>
        <w:pStyle w:val="4"/>
        <w:keepNext/>
        <w:keepLines/>
        <w:pageBreakBefore w:val="0"/>
        <w:widowControl/>
        <w:numPr>
          <w:ilvl w:val="0"/>
          <w:numId w:val="0"/>
        </w:numPr>
        <w:kinsoku/>
        <w:wordWrap/>
        <w:overflowPunct/>
        <w:topLinePunct w:val="0"/>
        <w:autoSpaceDE/>
        <w:autoSpaceDN/>
        <w:bidi w:val="0"/>
        <w:adjustRightInd/>
        <w:snapToGrid/>
        <w:spacing w:before="157" w:beforeLines="50" w:beforeAutospacing="0" w:after="157" w:afterLines="50" w:line="578" w:lineRule="exact"/>
        <w:ind w:firstLine="616" w:firstLineChars="200"/>
        <w:jc w:val="left"/>
        <w:textAlignment w:val="auto"/>
        <w:rPr>
          <w:rFonts w:hint="eastAsia" w:ascii="宋体" w:hAnsi="宋体" w:eastAsia="方正黑体_GBK" w:cs="方正黑体_GBK"/>
          <w:b w:val="0"/>
          <w:snapToGrid/>
          <w:color w:val="auto"/>
          <w:spacing w:val="-6"/>
          <w:sz w:val="32"/>
          <w:szCs w:val="32"/>
          <w:highlight w:val="none"/>
          <w:lang w:val="en-US" w:eastAsia="zh-CN" w:bidi="ar"/>
        </w:rPr>
      </w:pPr>
      <w:r>
        <w:rPr>
          <w:rFonts w:hint="eastAsia" w:ascii="宋体" w:hAnsi="宋体" w:eastAsia="方正黑体_GBK" w:cs="方正黑体_GBK"/>
          <w:b w:val="0"/>
          <w:snapToGrid/>
          <w:color w:val="auto"/>
          <w:spacing w:val="-6"/>
          <w:sz w:val="32"/>
          <w:szCs w:val="32"/>
          <w:highlight w:val="none"/>
          <w:lang w:val="en-US" w:eastAsia="zh-CN" w:bidi="ar"/>
        </w:rPr>
        <w:t>三、</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hint="eastAsia" w:ascii="宋体" w:hAnsi="宋体" w:eastAsia="方正黑体_GBK" w:cs="方正黑体_GBK"/>
          <w:b w:val="0"/>
          <w:snapToGrid/>
          <w:color w:val="auto"/>
          <w:spacing w:val="-6"/>
          <w:sz w:val="32"/>
          <w:szCs w:val="32"/>
          <w:highlight w:val="none"/>
          <w:lang w:val="en-US" w:eastAsia="zh-CN" w:bidi="ar"/>
        </w:rPr>
        <w:t>科学修复</w:t>
      </w:r>
    </w:p>
    <w:bookmarkEnd w:id="142"/>
    <w:bookmarkEnd w:id="143"/>
    <w:bookmarkEnd w:id="144"/>
    <w:bookmarkEnd w:id="145"/>
    <w:bookmarkEnd w:id="146"/>
    <w:p>
      <w:pPr>
        <w:pStyle w:val="3"/>
        <w:kinsoku/>
        <w:autoSpaceDE/>
        <w:autoSpaceDN/>
        <w:adjustRightInd/>
        <w:snapToGrid/>
        <w:spacing w:line="578" w:lineRule="exact"/>
        <w:ind w:left="0" w:leftChars="0" w:firstLine="640" w:firstLineChars="200"/>
        <w:jc w:val="both"/>
        <w:textAlignment w:val="auto"/>
        <w:outlineLvl w:val="1"/>
        <w:rPr>
          <w:rFonts w:hint="eastAsia" w:ascii="宋体" w:hAnsi="宋体" w:eastAsia="方正楷体_GBK" w:cs="方正楷体_GBK"/>
          <w:color w:val="auto"/>
          <w:sz w:val="32"/>
          <w:szCs w:val="32"/>
          <w:lang w:val="en-US" w:eastAsia="zh-CN"/>
        </w:rPr>
      </w:pPr>
      <w:bookmarkStart w:id="147" w:name="_Toc10144"/>
      <w:bookmarkStart w:id="148" w:name="_Toc526"/>
      <w:bookmarkStart w:id="149" w:name="_Toc11802"/>
      <w:bookmarkStart w:id="150" w:name="_Toc28462"/>
      <w:bookmarkStart w:id="151" w:name="_Toc13951"/>
      <w:bookmarkStart w:id="152" w:name="_Toc190269649"/>
      <w:bookmarkStart w:id="153" w:name="_Toc18971"/>
      <w:bookmarkStart w:id="154" w:name="_Toc29135"/>
      <w:bookmarkStart w:id="155" w:name="_Toc15855"/>
      <w:bookmarkStart w:id="156" w:name="_Toc11029"/>
      <w:bookmarkStart w:id="157" w:name="_Toc24446"/>
      <w:bookmarkStart w:id="158" w:name="_Toc11525"/>
      <w:bookmarkStart w:id="159" w:name="_Toc1181"/>
      <w:bookmarkStart w:id="160" w:name="_Toc4161"/>
      <w:bookmarkStart w:id="161" w:name="_Toc11593"/>
      <w:bookmarkStart w:id="162" w:name="_Toc8556"/>
      <w:bookmarkStart w:id="163" w:name="_Toc24630"/>
      <w:bookmarkStart w:id="164" w:name="_Toc5313"/>
      <w:bookmarkStart w:id="165" w:name="_Toc30234"/>
      <w:bookmarkStart w:id="166" w:name="_Toc11808"/>
      <w:bookmarkStart w:id="167" w:name="_Toc21949"/>
      <w:bookmarkStart w:id="168" w:name="_Toc29661"/>
      <w:bookmarkStart w:id="169" w:name="_Toc26440"/>
      <w:bookmarkStart w:id="170" w:name="_Toc23602"/>
      <w:bookmarkStart w:id="171" w:name="_Toc29983"/>
      <w:bookmarkStart w:id="172" w:name="_Toc24859"/>
      <w:bookmarkStart w:id="173" w:name="_Toc28342"/>
      <w:bookmarkStart w:id="174" w:name="_Toc14274"/>
      <w:bookmarkStart w:id="175" w:name="_Toc862"/>
      <w:bookmarkStart w:id="176" w:name="_Toc7765"/>
      <w:bookmarkStart w:id="177" w:name="_Toc17163"/>
      <w:bookmarkStart w:id="178" w:name="_Toc6153"/>
      <w:bookmarkStart w:id="179" w:name="_Toc7650"/>
      <w:bookmarkStart w:id="180" w:name="_Toc15082"/>
      <w:bookmarkStart w:id="181" w:name="_Toc10721"/>
      <w:bookmarkStart w:id="182" w:name="_Toc8344"/>
      <w:bookmarkStart w:id="183" w:name="_Toc5062"/>
      <w:bookmarkStart w:id="184" w:name="_Toc5321"/>
      <w:bookmarkStart w:id="185" w:name="_Toc6813"/>
      <w:bookmarkStart w:id="186" w:name="_Toc2469"/>
      <w:bookmarkStart w:id="187" w:name="_Toc27751"/>
      <w:bookmarkStart w:id="188" w:name="_Toc7747"/>
      <w:bookmarkStart w:id="189" w:name="_Toc29143"/>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七</w:t>
      </w:r>
      <w:r>
        <w:rPr>
          <w:rFonts w:hint="eastAsia" w:ascii="宋体" w:hAnsi="宋体" w:eastAsia="方正楷体_GBK" w:cs="方正楷体_GBK"/>
          <w:color w:val="auto"/>
          <w:sz w:val="32"/>
          <w:szCs w:val="32"/>
          <w:lang w:eastAsia="zh-CN"/>
        </w:rPr>
        <w:t>）</w:t>
      </w:r>
      <w:r>
        <w:rPr>
          <w:rFonts w:hint="eastAsia" w:ascii="宋体" w:hAnsi="宋体" w:eastAsia="方正楷体_GBK" w:cs="方正楷体_GBK"/>
          <w:color w:val="auto"/>
          <w:sz w:val="32"/>
          <w:szCs w:val="32"/>
          <w:lang w:val="en-US" w:eastAsia="zh-CN"/>
        </w:rPr>
        <w:t>修复分区</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按照《云南省国土空间生态修复规划（2021—2035年）》分区布局，兼顾全省自然地理和生态系统的完整性、连通性，充分体现各区域差异化生态基底，结合天然林和非天然公益林资源分布状况，将全省划分为5个修复区，即：青藏高原东南缘修复区、南部边境修复区、哀牢山无量山修复区、金沙江干热河谷修复区、滇东滇东南石漠化修复区。</w:t>
      </w:r>
    </w:p>
    <w:p>
      <w:pPr>
        <w:pStyle w:val="3"/>
        <w:rPr>
          <w:rFonts w:hint="eastAsia" w:ascii="宋体" w:hAnsi="宋体"/>
          <w:color w:val="auto"/>
          <w:lang w:val="en-US" w:eastAsia="zh-CN"/>
        </w:rPr>
      </w:pPr>
    </w:p>
    <w:tbl>
      <w:tblPr>
        <w:tblStyle w:val="24"/>
        <w:tblW w:w="8900" w:type="dxa"/>
        <w:jc w:val="center"/>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Layout w:type="fixed"/>
        <w:tblCellMar>
          <w:top w:w="0" w:type="dxa"/>
          <w:left w:w="0" w:type="dxa"/>
          <w:bottom w:w="0" w:type="dxa"/>
          <w:right w:w="0" w:type="dxa"/>
        </w:tblCellMar>
      </w:tblPr>
      <w:tblGrid>
        <w:gridCol w:w="8900"/>
      </w:tblGrid>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510" w:hRule="exact"/>
          <w:tblHeader/>
          <w:jc w:val="center"/>
        </w:trPr>
        <w:tc>
          <w:tcPr>
            <w:tcW w:w="890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方正楷体_GBK" w:hAnsi="方正楷体_GBK" w:eastAsia="方正楷体_GBK" w:cs="方正楷体_GBK"/>
                <w:b/>
                <w:bCs/>
                <w:snapToGrid/>
                <w:color w:val="auto"/>
                <w:kern w:val="2"/>
                <w:sz w:val="24"/>
                <w:szCs w:val="24"/>
                <w:highlight w:val="none"/>
                <w:lang w:val="en-US" w:eastAsia="zh-CN"/>
              </w:rPr>
            </w:pPr>
            <w:r>
              <w:rPr>
                <w:rFonts w:hint="eastAsia" w:ascii="宋体" w:hAnsi="宋体" w:eastAsia="方正楷体_GBK" w:cs="方正楷体_GBK"/>
                <w:b/>
                <w:bCs/>
                <w:snapToGrid/>
                <w:color w:val="auto"/>
                <w:kern w:val="2"/>
                <w:sz w:val="28"/>
                <w:szCs w:val="28"/>
                <w:highlight w:val="none"/>
                <w:lang w:eastAsia="zh-CN"/>
              </w:rPr>
              <w:t>专栏</w:t>
            </w:r>
            <w:r>
              <w:rPr>
                <w:rFonts w:hint="eastAsia" w:ascii="宋体" w:hAnsi="宋体" w:eastAsia="方正楷体_GBK" w:cs="方正楷体_GBK"/>
                <w:b/>
                <w:bCs/>
                <w:snapToGrid/>
                <w:color w:val="auto"/>
                <w:kern w:val="2"/>
                <w:sz w:val="28"/>
                <w:szCs w:val="28"/>
                <w:highlight w:val="none"/>
                <w:lang w:val="en-US" w:eastAsia="zh-CN"/>
              </w:rPr>
              <w:t>3-1</w:t>
            </w:r>
            <w:r>
              <w:rPr>
                <w:rFonts w:hint="eastAsia" w:ascii="宋体" w:hAnsi="宋体" w:eastAsia="方正楷体_GBK" w:cs="方正楷体_GBK"/>
                <w:b/>
                <w:bCs/>
                <w:snapToGrid/>
                <w:color w:val="auto"/>
                <w:kern w:val="2"/>
                <w:sz w:val="28"/>
                <w:szCs w:val="28"/>
                <w:highlight w:val="none"/>
                <w:lang w:eastAsia="zh-CN"/>
              </w:rPr>
              <w:t>：天然林</w:t>
            </w:r>
            <w:r>
              <w:rPr>
                <w:rFonts w:hint="eastAsia" w:ascii="宋体" w:hAnsi="宋体" w:eastAsia="方正楷体_GBK" w:cs="方正楷体_GBK"/>
                <w:b/>
                <w:bCs/>
                <w:snapToGrid/>
                <w:color w:val="auto"/>
                <w:kern w:val="2"/>
                <w:sz w:val="28"/>
                <w:szCs w:val="28"/>
                <w:highlight w:val="none"/>
                <w:lang w:val="en-US" w:eastAsia="zh-CN"/>
              </w:rPr>
              <w:t>和非天然公益林分区修复情况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1613" w:hRule="atLeast"/>
          <w:jc w:val="center"/>
        </w:trPr>
        <w:tc>
          <w:tcPr>
            <w:tcW w:w="8900" w:type="dxa"/>
            <w:tcBorders>
              <w:tl2br w:val="nil"/>
              <w:tr2bl w:val="nil"/>
            </w:tcBorders>
            <w:vAlign w:val="center"/>
          </w:tcPr>
          <w:p>
            <w:pPr>
              <w:pStyle w:val="2"/>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1.</w:t>
            </w:r>
            <w:r>
              <w:rPr>
                <w:rFonts w:hint="eastAsia" w:ascii="宋体" w:hAnsi="宋体" w:eastAsia="方正楷体_GBK" w:cs="方正楷体_GBK"/>
                <w:b/>
                <w:bCs/>
                <w:snapToGrid/>
                <w:color w:val="auto"/>
                <w:spacing w:val="-6"/>
                <w:kern w:val="2"/>
                <w:sz w:val="24"/>
                <w:szCs w:val="24"/>
                <w:highlight w:val="none"/>
                <w:lang w:eastAsia="zh-CN"/>
              </w:rPr>
              <w:t>青藏高原东南缘修复区</w:t>
            </w:r>
          </w:p>
          <w:p>
            <w:pPr>
              <w:pStyle w:val="2"/>
              <w:keepNext w:val="0"/>
              <w:keepLines w:val="0"/>
              <w:pageBreakBefore w:val="0"/>
              <w:widowControl/>
              <w:wordWrap/>
              <w:overflowPunct/>
              <w:topLinePunct w:val="0"/>
              <w:bidi w:val="0"/>
              <w:spacing w:line="400" w:lineRule="exact"/>
              <w:ind w:firstLine="480" w:firstLineChars="200"/>
              <w:jc w:val="both"/>
              <w:rPr>
                <w:rFonts w:hint="eastAsia" w:ascii="宋体" w:hAnsi="宋体" w:eastAsia="方正楷体_GBK" w:cs="方正楷体_GBK"/>
                <w:color w:val="auto"/>
                <w:sz w:val="24"/>
                <w:szCs w:val="24"/>
                <w:highlight w:val="none"/>
                <w:lang w:eastAsia="zh-CN"/>
              </w:rPr>
            </w:pPr>
            <w:r>
              <w:rPr>
                <w:rFonts w:hint="eastAsia" w:ascii="宋体" w:hAnsi="宋体" w:eastAsia="方正楷体_GBK" w:cs="方正楷体_GBK"/>
                <w:color w:val="auto"/>
                <w:sz w:val="24"/>
                <w:szCs w:val="24"/>
                <w:highlight w:val="none"/>
                <w:lang w:eastAsia="zh-CN"/>
              </w:rPr>
              <w:t>该区域涉及川滇森林及生物多样性全国重</w:t>
            </w:r>
            <w:r>
              <w:rPr>
                <w:rFonts w:hint="eastAsia" w:ascii="宋体" w:hAnsi="宋体" w:eastAsia="方正楷体_GBK" w:cs="方正楷体_GBK"/>
                <w:color w:val="auto"/>
                <w:sz w:val="24"/>
                <w:szCs w:val="24"/>
                <w:highlight w:val="none"/>
                <w:lang w:val="en-US" w:eastAsia="zh-CN"/>
              </w:rPr>
              <w:t>点</w:t>
            </w:r>
            <w:r>
              <w:rPr>
                <w:rFonts w:hint="eastAsia" w:ascii="宋体" w:hAnsi="宋体" w:eastAsia="方正楷体_GBK" w:cs="方正楷体_GBK"/>
                <w:color w:val="auto"/>
                <w:sz w:val="24"/>
                <w:szCs w:val="24"/>
                <w:highlight w:val="none"/>
                <w:lang w:eastAsia="zh-CN"/>
              </w:rPr>
              <w:t>生态功能区、滇西北森林及生物多样性、高原湖泊等云南省重点生态功能区。涉及丽江市、大理州、怒江州、迪庆州等4个州（市）的15个县（市）。该区域地处喜马拉雅山南延余脉滇西横断山脉地带，山高谷深，生态敏感脆弱，修复难度大；立体气候明显，较完整保存了植被山地垂直带谱；生物多样性富集，是全球生物多样性热点地区之一。森林生态系统功能出现不同程度退化，需采取有效措施，促使其正向演替，以形成健康稳定的寒温性针叶林、温凉性针叶林、寒温性山地常绿栎类林、湿性常绿阔叶林、半湿润常绿阔叶林、针阔混交林为主要目标，增强</w:t>
            </w:r>
            <w:r>
              <w:rPr>
                <w:rFonts w:hint="eastAsia" w:ascii="宋体" w:hAnsi="宋体" w:eastAsia="方正楷体_GBK" w:cs="方正楷体_GBK"/>
                <w:color w:val="auto"/>
                <w:sz w:val="24"/>
                <w:szCs w:val="24"/>
                <w:highlight w:val="none"/>
                <w:lang w:val="en-US" w:eastAsia="zh-CN"/>
              </w:rPr>
              <w:t>生态服务功能</w:t>
            </w:r>
            <w:r>
              <w:rPr>
                <w:rFonts w:hint="eastAsia" w:ascii="宋体" w:hAnsi="宋体" w:eastAsia="方正楷体_GBK" w:cs="方正楷体_GBK"/>
                <w:color w:val="auto"/>
                <w:sz w:val="24"/>
                <w:szCs w:val="24"/>
                <w:highlight w:val="none"/>
                <w:lang w:eastAsia="zh-CN"/>
              </w:rPr>
              <w:t>和碳汇能</w:t>
            </w:r>
            <w:r>
              <w:rPr>
                <w:rFonts w:hint="eastAsia" w:ascii="宋体" w:hAnsi="宋体" w:eastAsia="方正楷体_GBK" w:cs="方正楷体_GBK"/>
                <w:color w:val="auto"/>
                <w:sz w:val="24"/>
                <w:szCs w:val="24"/>
                <w:highlight w:val="none"/>
                <w:lang w:val="en-US" w:eastAsia="zh-CN"/>
              </w:rPr>
              <w:t>力</w:t>
            </w:r>
            <w:r>
              <w:rPr>
                <w:rFonts w:hint="eastAsia" w:ascii="宋体" w:hAnsi="宋体" w:eastAsia="方正楷体_GBK" w:cs="方正楷体_GBK"/>
                <w:color w:val="auto"/>
                <w:sz w:val="24"/>
                <w:szCs w:val="24"/>
                <w:highlight w:val="none"/>
                <w:lang w:eastAsia="zh-CN"/>
              </w:rPr>
              <w:t>，提升三江并流世界自然遗产价值。</w:t>
            </w:r>
          </w:p>
          <w:p>
            <w:pPr>
              <w:pStyle w:val="2"/>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2.</w:t>
            </w:r>
            <w:r>
              <w:rPr>
                <w:rFonts w:hint="eastAsia" w:ascii="宋体" w:hAnsi="宋体" w:eastAsia="方正楷体_GBK" w:cs="方正楷体_GBK"/>
                <w:b/>
                <w:bCs/>
                <w:snapToGrid/>
                <w:color w:val="auto"/>
                <w:spacing w:val="-6"/>
                <w:kern w:val="2"/>
                <w:sz w:val="24"/>
                <w:szCs w:val="24"/>
                <w:highlight w:val="none"/>
                <w:lang w:eastAsia="zh-CN"/>
              </w:rPr>
              <w:t>南部边境修复区</w:t>
            </w:r>
          </w:p>
          <w:p>
            <w:pPr>
              <w:pStyle w:val="2"/>
              <w:keepNext w:val="0"/>
              <w:keepLines w:val="0"/>
              <w:pageBreakBefore w:val="0"/>
              <w:widowControl/>
              <w:wordWrap/>
              <w:overflowPunct/>
              <w:topLinePunct w:val="0"/>
              <w:bidi w:val="0"/>
              <w:spacing w:line="400" w:lineRule="exact"/>
              <w:ind w:firstLine="480" w:firstLineChars="200"/>
              <w:jc w:val="both"/>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eastAsia="zh-CN"/>
              </w:rPr>
              <w:t>该区域涉及川滇森林及生物多样性国家重点生态功能区、南部边境森林及生物多样性云南省重点生态功能区。涉及保山市、普洱市、临沧市、红河州、西双版纳州、德宏州等6个州（市）的32个县（市、区）。</w:t>
            </w:r>
            <w:r>
              <w:rPr>
                <w:rFonts w:hint="eastAsia" w:ascii="宋体" w:hAnsi="宋体" w:eastAsia="方正楷体_GBK" w:cs="方正楷体_GBK"/>
                <w:color w:val="auto"/>
                <w:sz w:val="24"/>
                <w:szCs w:val="24"/>
                <w:highlight w:val="none"/>
                <w:lang w:val="en-US" w:eastAsia="zh-CN"/>
              </w:rPr>
              <w:t>该</w:t>
            </w:r>
            <w:r>
              <w:rPr>
                <w:rFonts w:hint="eastAsia" w:ascii="宋体" w:hAnsi="宋体" w:eastAsia="方正楷体_GBK" w:cs="方正楷体_GBK"/>
                <w:color w:val="auto"/>
                <w:sz w:val="24"/>
                <w:szCs w:val="24"/>
                <w:highlight w:val="none"/>
                <w:lang w:eastAsia="zh-CN"/>
              </w:rPr>
              <w:t>区域与缅甸、越南、老挝接壤，立地条件好，生态安全面临较大压力。跨北热带、南亚热带，雨量充沛，高温多雾，生物多样性极为丰富，是亚洲象、望天树等珍稀濒危野生动植物的重要栖息地和分布区。生境破碎化趋势明显，野生动物栖息地被压缩，森林生态系统功能退化严重，需采取有效措施，遏制其继续退化，以形成健康稳定的山地雨林、季风常绿阔叶林、针阔混交林为主要目标，增强</w:t>
            </w:r>
            <w:r>
              <w:rPr>
                <w:rFonts w:hint="eastAsia" w:ascii="宋体" w:hAnsi="宋体" w:eastAsia="方正楷体_GBK" w:cs="方正楷体_GBK"/>
                <w:color w:val="auto"/>
                <w:sz w:val="24"/>
                <w:szCs w:val="24"/>
                <w:highlight w:val="none"/>
                <w:lang w:val="en-US" w:eastAsia="zh-CN"/>
              </w:rPr>
              <w:t>生态服务</w:t>
            </w:r>
            <w:r>
              <w:rPr>
                <w:rFonts w:hint="eastAsia" w:ascii="宋体" w:hAnsi="宋体" w:eastAsia="方正楷体_GBK" w:cs="方正楷体_GBK"/>
                <w:color w:val="auto"/>
                <w:sz w:val="24"/>
                <w:szCs w:val="24"/>
                <w:highlight w:val="none"/>
                <w:lang w:eastAsia="zh-CN"/>
              </w:rPr>
              <w:t>功能和碳汇能</w:t>
            </w:r>
            <w:r>
              <w:rPr>
                <w:rFonts w:hint="eastAsia" w:ascii="宋体" w:hAnsi="宋体" w:eastAsia="方正楷体_GBK" w:cs="方正楷体_GBK"/>
                <w:color w:val="auto"/>
                <w:sz w:val="24"/>
                <w:szCs w:val="24"/>
                <w:highlight w:val="none"/>
                <w:lang w:val="en-US" w:eastAsia="zh-CN"/>
              </w:rPr>
              <w:t>力</w:t>
            </w:r>
            <w:r>
              <w:rPr>
                <w:rFonts w:hint="eastAsia" w:ascii="宋体" w:hAnsi="宋体" w:eastAsia="方正楷体_GBK" w:cs="方正楷体_GBK"/>
                <w:color w:val="auto"/>
                <w:sz w:val="24"/>
                <w:szCs w:val="24"/>
                <w:highlight w:val="none"/>
                <w:lang w:eastAsia="zh-CN"/>
              </w:rPr>
              <w:t>，提升森林跨境生态调控能力。</w:t>
            </w:r>
            <w:r>
              <w:rPr>
                <w:rFonts w:hint="eastAsia" w:ascii="宋体" w:hAnsi="宋体" w:eastAsia="方正楷体_GBK" w:cs="方正楷体_GBK"/>
                <w:color w:val="auto"/>
                <w:kern w:val="2"/>
                <w:sz w:val="24"/>
                <w:szCs w:val="24"/>
                <w:highlight w:val="none"/>
                <w:lang w:eastAsia="zh-CN"/>
              </w:rPr>
              <w:t xml:space="preserve"> </w:t>
            </w:r>
          </w:p>
          <w:p>
            <w:pPr>
              <w:pStyle w:val="2"/>
              <w:kinsoku/>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3.</w:t>
            </w:r>
            <w:r>
              <w:rPr>
                <w:rFonts w:hint="eastAsia" w:ascii="宋体" w:hAnsi="宋体" w:eastAsia="方正楷体_GBK" w:cs="方正楷体_GBK"/>
                <w:b/>
                <w:bCs/>
                <w:snapToGrid/>
                <w:color w:val="auto"/>
                <w:spacing w:val="-6"/>
                <w:kern w:val="2"/>
                <w:sz w:val="24"/>
                <w:szCs w:val="24"/>
                <w:highlight w:val="none"/>
                <w:lang w:eastAsia="zh-CN"/>
              </w:rPr>
              <w:t>哀牢山无量山修复区</w:t>
            </w:r>
          </w:p>
          <w:p>
            <w:pPr>
              <w:pStyle w:val="2"/>
              <w:keepNext w:val="0"/>
              <w:keepLines w:val="0"/>
              <w:pageBreakBefore w:val="0"/>
              <w:widowControl/>
              <w:kinsoku/>
              <w:wordWrap/>
              <w:overflowPunct/>
              <w:topLinePunct w:val="0"/>
              <w:bidi w:val="0"/>
              <w:spacing w:line="400" w:lineRule="exact"/>
              <w:ind w:firstLine="480" w:firstLineChars="200"/>
              <w:jc w:val="both"/>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eastAsia="zh-CN"/>
              </w:rPr>
              <w:t>该区域涉及川滇森林及生物多样性国家重点生态功能区、哀牢山无量山森林及生物多样性云南省重点生态功能区。涉及玉溪市、普洱市、楚雄州、红河州、大理州等5个州（市）的14个县（市）。该区域地处横断山系和云南高原两大地理区域的接合部，处于南亚热带与中亚热带的过渡地带。生物多样性丰富，是西黑冠长臂猿、绿孔雀等珍稀野生动物的重要栖息地。该区域大多干旱缺水，水土流失突出，土壤贫瘠，森林生态系统脆弱。</w:t>
            </w:r>
            <w:r>
              <w:rPr>
                <w:rFonts w:hint="eastAsia" w:ascii="宋体" w:hAnsi="宋体" w:eastAsia="方正楷体_GBK" w:cs="方正楷体_GBK"/>
                <w:color w:val="auto"/>
                <w:sz w:val="24"/>
                <w:szCs w:val="24"/>
                <w:highlight w:val="none"/>
                <w:lang w:eastAsia="zh-CN"/>
              </w:rPr>
              <w:t>需采取有效措施，</w:t>
            </w:r>
            <w:r>
              <w:rPr>
                <w:rFonts w:hint="eastAsia" w:ascii="宋体" w:hAnsi="宋体" w:eastAsia="方正楷体_GBK" w:cs="方正楷体_GBK"/>
                <w:color w:val="auto"/>
                <w:kern w:val="2"/>
                <w:sz w:val="24"/>
                <w:szCs w:val="24"/>
                <w:highlight w:val="none"/>
                <w:lang w:eastAsia="zh-CN"/>
              </w:rPr>
              <w:t>以形成健康稳定的中山湿性常绿阔叶林、半湿润常绿阔叶林</w:t>
            </w:r>
            <w:r>
              <w:rPr>
                <w:rFonts w:hint="eastAsia" w:ascii="宋体" w:hAnsi="宋体" w:eastAsia="方正楷体_GBK" w:cs="方正楷体_GBK"/>
                <w:color w:val="auto"/>
                <w:sz w:val="24"/>
                <w:szCs w:val="24"/>
                <w:highlight w:val="none"/>
                <w:lang w:eastAsia="zh-CN"/>
              </w:rPr>
              <w:t>、针阔混交林</w:t>
            </w:r>
            <w:r>
              <w:rPr>
                <w:rFonts w:hint="eastAsia" w:ascii="宋体" w:hAnsi="宋体" w:eastAsia="方正楷体_GBK" w:cs="方正楷体_GBK"/>
                <w:color w:val="auto"/>
                <w:kern w:val="2"/>
                <w:sz w:val="24"/>
                <w:szCs w:val="24"/>
                <w:highlight w:val="none"/>
                <w:lang w:eastAsia="zh-CN"/>
              </w:rPr>
              <w:t>为主要目标，增强</w:t>
            </w:r>
            <w:r>
              <w:rPr>
                <w:rFonts w:hint="eastAsia" w:ascii="宋体" w:hAnsi="宋体" w:eastAsia="方正楷体_GBK" w:cs="方正楷体_GBK"/>
                <w:color w:val="auto"/>
                <w:kern w:val="2"/>
                <w:sz w:val="24"/>
                <w:szCs w:val="24"/>
                <w:highlight w:val="none"/>
                <w:lang w:val="en-US" w:eastAsia="zh-CN"/>
              </w:rPr>
              <w:t>生态服务</w:t>
            </w:r>
            <w:r>
              <w:rPr>
                <w:rFonts w:hint="eastAsia" w:ascii="宋体" w:hAnsi="宋体" w:eastAsia="方正楷体_GBK" w:cs="方正楷体_GBK"/>
                <w:color w:val="auto"/>
                <w:kern w:val="2"/>
                <w:sz w:val="24"/>
                <w:szCs w:val="24"/>
                <w:highlight w:val="none"/>
                <w:lang w:eastAsia="zh-CN"/>
              </w:rPr>
              <w:t>功能</w:t>
            </w:r>
            <w:r>
              <w:rPr>
                <w:rFonts w:hint="eastAsia" w:ascii="宋体" w:hAnsi="宋体" w:eastAsia="方正楷体_GBK" w:cs="方正楷体_GBK"/>
                <w:color w:val="auto"/>
                <w:sz w:val="24"/>
                <w:szCs w:val="24"/>
                <w:highlight w:val="none"/>
                <w:lang w:eastAsia="zh-CN"/>
              </w:rPr>
              <w:t>和碳汇能</w:t>
            </w:r>
            <w:r>
              <w:rPr>
                <w:rFonts w:hint="eastAsia" w:ascii="宋体" w:hAnsi="宋体" w:eastAsia="方正楷体_GBK" w:cs="方正楷体_GBK"/>
                <w:color w:val="auto"/>
                <w:sz w:val="24"/>
                <w:szCs w:val="24"/>
                <w:highlight w:val="none"/>
                <w:lang w:val="en-US" w:eastAsia="zh-CN"/>
              </w:rPr>
              <w:t>力，筑牢滇中腹地生态安全</w:t>
            </w:r>
            <w:r>
              <w:rPr>
                <w:rFonts w:hint="eastAsia" w:ascii="宋体" w:hAnsi="宋体" w:eastAsia="方正楷体_GBK" w:cs="方正楷体_GBK"/>
                <w:color w:val="auto"/>
                <w:kern w:val="2"/>
                <w:sz w:val="24"/>
                <w:szCs w:val="24"/>
                <w:highlight w:val="none"/>
                <w:lang w:eastAsia="zh-CN"/>
              </w:rPr>
              <w:t>。</w:t>
            </w:r>
          </w:p>
          <w:p>
            <w:pPr>
              <w:pStyle w:val="2"/>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4.</w:t>
            </w:r>
            <w:r>
              <w:rPr>
                <w:rFonts w:hint="eastAsia" w:ascii="宋体" w:hAnsi="宋体" w:eastAsia="方正楷体_GBK" w:cs="方正楷体_GBK"/>
                <w:b/>
                <w:bCs/>
                <w:snapToGrid/>
                <w:color w:val="auto"/>
                <w:spacing w:val="-6"/>
                <w:kern w:val="2"/>
                <w:sz w:val="24"/>
                <w:szCs w:val="24"/>
                <w:highlight w:val="none"/>
                <w:lang w:eastAsia="zh-CN"/>
              </w:rPr>
              <w:t>金沙江干热河谷修复区</w:t>
            </w:r>
          </w:p>
          <w:p>
            <w:pPr>
              <w:pStyle w:val="2"/>
              <w:keepNext w:val="0"/>
              <w:keepLines w:val="0"/>
              <w:pageBreakBefore w:val="0"/>
              <w:widowControl/>
              <w:wordWrap/>
              <w:overflowPunct/>
              <w:topLinePunct w:val="0"/>
              <w:bidi w:val="0"/>
              <w:spacing w:line="400" w:lineRule="exact"/>
              <w:ind w:firstLine="480" w:firstLineChars="200"/>
              <w:jc w:val="both"/>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eastAsia="zh-CN"/>
              </w:rPr>
              <w:t>该区域涉及川滇森林及生物多样性国家重点生态功能区、桂黔滇喀斯特石漠化防治国家重点生态功能区等2个国家重点生态功能区，以及滇东北三峡库区上游、金沙江干热河谷、滇东喀斯特石漠化防治、高原湖泊等4个云南省重点生态功能区。涉及昆明市、曲靖市、昭通市、丽江市、楚雄州、大理州等6个州（市）的28个县（市、区）。该区域地处长江上游，人多地少，人为活动频繁，土地垦殖指数高。地形复杂，</w:t>
            </w:r>
            <w:r>
              <w:rPr>
                <w:rFonts w:hint="eastAsia" w:ascii="宋体" w:hAnsi="宋体" w:eastAsia="方正楷体_GBK" w:cs="方正楷体_GBK"/>
                <w:color w:val="auto"/>
                <w:sz w:val="24"/>
                <w:szCs w:val="24"/>
                <w:highlight w:val="none"/>
                <w:lang w:eastAsia="zh-CN"/>
              </w:rPr>
              <w:t>河谷</w:t>
            </w:r>
            <w:r>
              <w:rPr>
                <w:rFonts w:hint="eastAsia" w:ascii="宋体" w:hAnsi="宋体" w:eastAsia="方正楷体_GBK" w:cs="方正楷体_GBK"/>
                <w:color w:val="auto"/>
                <w:kern w:val="2"/>
                <w:sz w:val="24"/>
                <w:szCs w:val="24"/>
                <w:highlight w:val="none"/>
                <w:lang w:eastAsia="zh-CN"/>
              </w:rPr>
              <w:t>气候干热，蒸发强度大，降水量时空分布不均，森林生态系统极其脆弱。</w:t>
            </w:r>
            <w:r>
              <w:rPr>
                <w:rFonts w:hint="eastAsia" w:ascii="宋体" w:hAnsi="宋体" w:eastAsia="方正楷体_GBK" w:cs="方正楷体_GBK"/>
                <w:color w:val="auto"/>
                <w:sz w:val="24"/>
                <w:szCs w:val="24"/>
                <w:highlight w:val="none"/>
                <w:lang w:eastAsia="zh-CN"/>
              </w:rPr>
              <w:t>需采取有效措施，</w:t>
            </w:r>
            <w:r>
              <w:rPr>
                <w:rFonts w:hint="eastAsia" w:ascii="宋体" w:hAnsi="宋体" w:eastAsia="方正楷体_GBK" w:cs="方正楷体_GBK"/>
                <w:color w:val="auto"/>
                <w:kern w:val="2"/>
                <w:sz w:val="24"/>
                <w:szCs w:val="24"/>
                <w:highlight w:val="none"/>
                <w:lang w:eastAsia="zh-CN"/>
              </w:rPr>
              <w:t>以形成健康稳定</w:t>
            </w:r>
            <w:r>
              <w:rPr>
                <w:rFonts w:hint="eastAsia" w:ascii="宋体" w:hAnsi="宋体" w:eastAsia="方正楷体_GBK" w:cs="方正楷体_GBK"/>
                <w:color w:val="auto"/>
                <w:kern w:val="2"/>
                <w:sz w:val="24"/>
                <w:szCs w:val="24"/>
                <w:highlight w:val="none"/>
                <w:lang w:val="en-US" w:eastAsia="zh-CN"/>
              </w:rPr>
              <w:t>的</w:t>
            </w:r>
            <w:r>
              <w:rPr>
                <w:rFonts w:hint="eastAsia" w:ascii="宋体" w:hAnsi="宋体" w:eastAsia="方正楷体_GBK" w:cs="方正楷体_GBK"/>
                <w:color w:val="auto"/>
                <w:kern w:val="2"/>
                <w:sz w:val="24"/>
                <w:szCs w:val="24"/>
                <w:highlight w:val="none"/>
                <w:lang w:eastAsia="zh-CN"/>
              </w:rPr>
              <w:t>针阔混交林为目标，增强</w:t>
            </w:r>
            <w:r>
              <w:rPr>
                <w:rFonts w:hint="eastAsia" w:ascii="宋体" w:hAnsi="宋体" w:eastAsia="方正楷体_GBK" w:cs="方正楷体_GBK"/>
                <w:color w:val="auto"/>
                <w:kern w:val="2"/>
                <w:sz w:val="24"/>
                <w:szCs w:val="24"/>
                <w:highlight w:val="none"/>
                <w:lang w:val="en-US" w:eastAsia="zh-CN"/>
              </w:rPr>
              <w:t>生态服务</w:t>
            </w:r>
            <w:r>
              <w:rPr>
                <w:rFonts w:hint="eastAsia" w:ascii="宋体" w:hAnsi="宋体" w:eastAsia="方正楷体_GBK" w:cs="方正楷体_GBK"/>
                <w:color w:val="auto"/>
                <w:kern w:val="2"/>
                <w:sz w:val="24"/>
                <w:szCs w:val="24"/>
                <w:highlight w:val="none"/>
                <w:lang w:eastAsia="zh-CN"/>
              </w:rPr>
              <w:t>功能</w:t>
            </w:r>
            <w:r>
              <w:rPr>
                <w:rFonts w:hint="eastAsia" w:ascii="宋体" w:hAnsi="宋体" w:eastAsia="方正楷体_GBK" w:cs="方正楷体_GBK"/>
                <w:color w:val="auto"/>
                <w:sz w:val="24"/>
                <w:szCs w:val="24"/>
                <w:highlight w:val="none"/>
                <w:lang w:eastAsia="zh-CN"/>
              </w:rPr>
              <w:t>和碳汇能</w:t>
            </w:r>
            <w:r>
              <w:rPr>
                <w:rFonts w:hint="eastAsia" w:ascii="宋体" w:hAnsi="宋体" w:eastAsia="方正楷体_GBK" w:cs="方正楷体_GBK"/>
                <w:color w:val="auto"/>
                <w:sz w:val="24"/>
                <w:szCs w:val="24"/>
                <w:highlight w:val="none"/>
                <w:lang w:val="en-US" w:eastAsia="zh-CN"/>
              </w:rPr>
              <w:t>力</w:t>
            </w:r>
            <w:r>
              <w:rPr>
                <w:rFonts w:hint="eastAsia" w:ascii="宋体" w:hAnsi="宋体" w:eastAsia="方正楷体_GBK" w:cs="方正楷体_GBK"/>
                <w:color w:val="auto"/>
                <w:kern w:val="2"/>
                <w:sz w:val="24"/>
                <w:szCs w:val="24"/>
                <w:highlight w:val="none"/>
                <w:lang w:eastAsia="zh-CN"/>
              </w:rPr>
              <w:t>，助力长江经济带高</w:t>
            </w:r>
            <w:r>
              <w:rPr>
                <w:rFonts w:hint="eastAsia" w:ascii="宋体" w:hAnsi="宋体" w:eastAsia="方正楷体_GBK" w:cs="方正楷体_GBK"/>
                <w:color w:val="auto"/>
                <w:sz w:val="24"/>
                <w:szCs w:val="24"/>
                <w:highlight w:val="none"/>
                <w:lang w:eastAsia="zh-CN"/>
              </w:rPr>
              <w:t>质量</w:t>
            </w:r>
            <w:r>
              <w:rPr>
                <w:rFonts w:hint="eastAsia" w:ascii="宋体" w:hAnsi="宋体" w:eastAsia="方正楷体_GBK" w:cs="方正楷体_GBK"/>
                <w:color w:val="auto"/>
                <w:kern w:val="2"/>
                <w:sz w:val="24"/>
                <w:szCs w:val="24"/>
                <w:highlight w:val="none"/>
                <w:lang w:eastAsia="zh-CN"/>
              </w:rPr>
              <w:t>发展。</w:t>
            </w:r>
          </w:p>
          <w:p>
            <w:pPr>
              <w:pStyle w:val="2"/>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5.</w:t>
            </w:r>
            <w:r>
              <w:rPr>
                <w:rFonts w:hint="eastAsia" w:ascii="宋体" w:hAnsi="宋体" w:eastAsia="方正楷体_GBK" w:cs="方正楷体_GBK"/>
                <w:b/>
                <w:bCs/>
                <w:snapToGrid/>
                <w:color w:val="auto"/>
                <w:spacing w:val="-6"/>
                <w:kern w:val="2"/>
                <w:sz w:val="24"/>
                <w:szCs w:val="24"/>
                <w:highlight w:val="none"/>
                <w:lang w:eastAsia="zh-CN"/>
              </w:rPr>
              <w:t>滇东滇东南石漠化修复区</w:t>
            </w:r>
          </w:p>
          <w:p>
            <w:pPr>
              <w:pStyle w:val="2"/>
              <w:keepNext w:val="0"/>
              <w:keepLines w:val="0"/>
              <w:pageBreakBefore w:val="0"/>
              <w:widowControl/>
              <w:wordWrap/>
              <w:overflowPunct/>
              <w:topLinePunct w:val="0"/>
              <w:bidi w:val="0"/>
              <w:spacing w:line="400" w:lineRule="exact"/>
              <w:ind w:firstLine="480" w:firstLineChars="200"/>
              <w:jc w:val="both"/>
              <w:rPr>
                <w:rFonts w:hint="eastAsia" w:ascii="方正楷体_GBK" w:hAnsi="方正楷体_GBK" w:eastAsia="方正楷体_GBK" w:cs="方正楷体_GBK"/>
                <w:color w:val="auto"/>
                <w:sz w:val="24"/>
                <w:szCs w:val="24"/>
                <w:highlight w:val="none"/>
                <w:lang w:eastAsia="zh-CN"/>
              </w:rPr>
            </w:pPr>
            <w:r>
              <w:rPr>
                <w:rFonts w:hint="eastAsia" w:ascii="宋体" w:hAnsi="宋体" w:eastAsia="方正楷体_GBK" w:cs="方正楷体_GBK"/>
                <w:color w:val="auto"/>
                <w:kern w:val="2"/>
                <w:sz w:val="24"/>
                <w:szCs w:val="24"/>
                <w:highlight w:val="none"/>
                <w:lang w:eastAsia="zh-CN"/>
              </w:rPr>
              <w:t>该区域涉及桂黔滇喀斯特石漠化防治国家重点生态功能区、川滇森林及生物多样性国家重点生态功能区等2个国家重点生态功能区，以及滇东喀斯特石漠化防治、高原湖泊等2个云南省重点生态功能区。涉及昆明市、曲靖市、玉溪市、红河州、文山州等5个州（市）的40个县（市、区）。该区域地处云南东南部，属中低山丘陵和喀斯特岩溶区，地貌类型复杂多样，石漠化和潜在石漠化土地广泛分布，土壤贫瘠，蒸发量大于降水量，大多干旱缺水，树种结构单一，森林生态系统功能退化明显。</w:t>
            </w:r>
            <w:r>
              <w:rPr>
                <w:rFonts w:hint="eastAsia" w:ascii="宋体" w:hAnsi="宋体" w:eastAsia="方正楷体_GBK" w:cs="方正楷体_GBK"/>
                <w:color w:val="auto"/>
                <w:sz w:val="24"/>
                <w:szCs w:val="24"/>
                <w:highlight w:val="none"/>
                <w:lang w:eastAsia="zh-CN"/>
              </w:rPr>
              <w:t>需采取有效措施，</w:t>
            </w:r>
            <w:r>
              <w:rPr>
                <w:rFonts w:hint="eastAsia" w:ascii="宋体" w:hAnsi="宋体" w:eastAsia="方正楷体_GBK" w:cs="方正楷体_GBK"/>
                <w:color w:val="auto"/>
                <w:kern w:val="2"/>
                <w:sz w:val="24"/>
                <w:szCs w:val="24"/>
                <w:highlight w:val="none"/>
                <w:lang w:eastAsia="zh-CN"/>
              </w:rPr>
              <w:t>以形成健康稳定的半湿润常绿阔叶林</w:t>
            </w:r>
            <w:r>
              <w:rPr>
                <w:rFonts w:hint="eastAsia" w:ascii="宋体" w:hAnsi="宋体" w:eastAsia="方正楷体_GBK" w:cs="方正楷体_GBK"/>
                <w:color w:val="auto"/>
                <w:sz w:val="24"/>
                <w:szCs w:val="24"/>
                <w:highlight w:val="none"/>
                <w:lang w:eastAsia="zh-CN"/>
              </w:rPr>
              <w:t>、</w:t>
            </w:r>
            <w:r>
              <w:rPr>
                <w:rFonts w:hint="eastAsia" w:ascii="宋体" w:hAnsi="宋体" w:eastAsia="方正楷体_GBK" w:cs="方正楷体_GBK"/>
                <w:color w:val="auto"/>
                <w:kern w:val="2"/>
                <w:sz w:val="24"/>
                <w:szCs w:val="24"/>
                <w:highlight w:val="none"/>
                <w:lang w:eastAsia="zh-CN"/>
              </w:rPr>
              <w:t>落叶阔叶林、针阔混交林为目标，增强</w:t>
            </w:r>
            <w:r>
              <w:rPr>
                <w:rFonts w:hint="eastAsia" w:ascii="宋体" w:hAnsi="宋体" w:eastAsia="方正楷体_GBK" w:cs="方正楷体_GBK"/>
                <w:color w:val="auto"/>
                <w:kern w:val="2"/>
                <w:sz w:val="24"/>
                <w:szCs w:val="24"/>
                <w:highlight w:val="none"/>
                <w:lang w:val="en-US" w:eastAsia="zh-CN"/>
              </w:rPr>
              <w:t>生态服务</w:t>
            </w:r>
            <w:r>
              <w:rPr>
                <w:rFonts w:hint="eastAsia" w:ascii="宋体" w:hAnsi="宋体" w:eastAsia="方正楷体_GBK" w:cs="方正楷体_GBK"/>
                <w:color w:val="auto"/>
                <w:kern w:val="2"/>
                <w:sz w:val="24"/>
                <w:szCs w:val="24"/>
                <w:highlight w:val="none"/>
                <w:lang w:eastAsia="zh-CN"/>
              </w:rPr>
              <w:t>功能</w:t>
            </w:r>
            <w:r>
              <w:rPr>
                <w:rFonts w:hint="eastAsia" w:ascii="宋体" w:hAnsi="宋体" w:eastAsia="方正楷体_GBK" w:cs="方正楷体_GBK"/>
                <w:color w:val="auto"/>
                <w:sz w:val="24"/>
                <w:szCs w:val="24"/>
                <w:highlight w:val="none"/>
                <w:lang w:eastAsia="zh-CN"/>
              </w:rPr>
              <w:t>和碳汇能</w:t>
            </w:r>
            <w:r>
              <w:rPr>
                <w:rFonts w:hint="eastAsia" w:ascii="宋体" w:hAnsi="宋体" w:eastAsia="方正楷体_GBK" w:cs="方正楷体_GBK"/>
                <w:color w:val="auto"/>
                <w:sz w:val="24"/>
                <w:szCs w:val="24"/>
                <w:highlight w:val="none"/>
                <w:lang w:val="en-US" w:eastAsia="zh-CN"/>
              </w:rPr>
              <w:t>力</w:t>
            </w:r>
            <w:r>
              <w:rPr>
                <w:rFonts w:hint="eastAsia" w:ascii="宋体" w:hAnsi="宋体" w:eastAsia="方正楷体_GBK" w:cs="方正楷体_GBK"/>
                <w:color w:val="auto"/>
                <w:kern w:val="2"/>
                <w:sz w:val="24"/>
                <w:szCs w:val="24"/>
                <w:highlight w:val="none"/>
                <w:lang w:eastAsia="zh-CN"/>
              </w:rPr>
              <w:t>，助力滇中经济圈高质量发展。</w:t>
            </w:r>
          </w:p>
        </w:tc>
      </w:tr>
    </w:tbl>
    <w:p>
      <w:pPr>
        <w:keepNext w:val="0"/>
        <w:keepLines w:val="0"/>
        <w:pageBreakBefore w:val="0"/>
        <w:kinsoku/>
        <w:wordWrap/>
        <w:overflowPunct/>
        <w:topLinePunct w:val="0"/>
        <w:autoSpaceDE/>
        <w:autoSpaceDN/>
        <w:bidi w:val="0"/>
        <w:adjustRightInd/>
        <w:snapToGrid/>
        <w:spacing w:line="578" w:lineRule="exact"/>
        <w:ind w:firstLine="616" w:firstLineChars="200"/>
        <w:jc w:val="both"/>
        <w:textAlignment w:val="auto"/>
        <w:outlineLvl w:val="1"/>
        <w:rPr>
          <w:rFonts w:hint="default" w:ascii="宋体" w:hAnsi="宋体" w:eastAsia="方正楷体_GBK" w:cs="方正楷体_GBK"/>
          <w:snapToGrid/>
          <w:color w:val="auto"/>
          <w:spacing w:val="-6"/>
          <w:kern w:val="2"/>
          <w:sz w:val="32"/>
          <w:szCs w:val="32"/>
          <w:highlight w:val="none"/>
          <w:lang w:val="en-US" w:eastAsia="zh-CN"/>
        </w:rPr>
      </w:pPr>
      <w:r>
        <w:rPr>
          <w:rFonts w:hint="eastAsia" w:ascii="宋体" w:hAnsi="宋体" w:eastAsia="方正楷体_GBK" w:cs="方正楷体_GBK"/>
          <w:snapToGrid/>
          <w:color w:val="auto"/>
          <w:spacing w:val="-6"/>
          <w:kern w:val="2"/>
          <w:sz w:val="32"/>
          <w:szCs w:val="32"/>
          <w:highlight w:val="none"/>
          <w:lang w:val="en-US" w:eastAsia="zh-CN"/>
        </w:rPr>
        <w:t>（</w:t>
      </w:r>
      <w:r>
        <w:rPr>
          <w:rFonts w:hint="eastAsia" w:eastAsia="方正楷体_GBK" w:cs="方正楷体_GBK"/>
          <w:snapToGrid/>
          <w:color w:val="auto"/>
          <w:spacing w:val="-6"/>
          <w:kern w:val="2"/>
          <w:sz w:val="32"/>
          <w:szCs w:val="32"/>
          <w:highlight w:val="none"/>
          <w:lang w:val="en-US" w:eastAsia="zh-CN"/>
        </w:rPr>
        <w:t>八</w:t>
      </w:r>
      <w:r>
        <w:rPr>
          <w:rFonts w:hint="eastAsia" w:ascii="宋体" w:hAnsi="宋体" w:eastAsia="方正楷体_GBK" w:cs="方正楷体_GBK"/>
          <w:snapToGrid/>
          <w:color w:val="auto"/>
          <w:spacing w:val="-6"/>
          <w:kern w:val="2"/>
          <w:sz w:val="32"/>
          <w:szCs w:val="32"/>
          <w:highlight w:val="none"/>
          <w:lang w:val="en-US" w:eastAsia="zh-CN"/>
        </w:rPr>
        <w:t>）</w:t>
      </w:r>
      <w:r>
        <w:rPr>
          <w:rFonts w:hint="eastAsia" w:eastAsia="方正楷体_GBK" w:cs="方正楷体_GBK"/>
          <w:snapToGrid/>
          <w:color w:val="auto"/>
          <w:spacing w:val="-6"/>
          <w:kern w:val="2"/>
          <w:sz w:val="32"/>
          <w:szCs w:val="32"/>
          <w:highlight w:val="none"/>
          <w:lang w:val="en-US" w:eastAsia="zh-CN"/>
        </w:rPr>
        <w:t>任务安排</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b/>
          <w:bCs/>
          <w:color w:val="auto"/>
          <w:sz w:val="32"/>
          <w:szCs w:val="32"/>
          <w:lang w:val="en-US" w:eastAsia="zh-CN"/>
        </w:rPr>
      </w:pPr>
      <w:r>
        <w:rPr>
          <w:rFonts w:hint="eastAsia" w:ascii="宋体" w:hAnsi="宋体" w:eastAsia="方正仿宋_GBK" w:cs="方正仿宋_GBK"/>
          <w:color w:val="auto"/>
          <w:sz w:val="32"/>
          <w:szCs w:val="32"/>
          <w:lang w:val="en-US" w:eastAsia="zh-CN"/>
        </w:rPr>
        <w:t>根据全省天然林和非天然公益林质量状况，到2035年，对亟须提质的3102.07万亩（2021—2025年已实施776.08万亩）进行重点攻坚。结合年度资源监测变化和修复成效，适时调整修复措施和任务安排，确保修复任务与资源状况动态匹配，精准实施。建立健全天然林修复标准体系，确保修复工作有标可依，有规可循。强化天然林修复管理，严控修复任务落地上图、作业设计逐级审批、施工过程跟踪监管、竣工验收量化评价等环节。</w:t>
      </w:r>
      <w:r>
        <w:rPr>
          <w:rFonts w:hint="eastAsia" w:ascii="宋体" w:hAnsi="宋体" w:eastAsia="方正仿宋_GBK" w:cs="方正仿宋_GBK"/>
          <w:b w:val="0"/>
          <w:bCs w:val="0"/>
          <w:color w:val="auto"/>
          <w:sz w:val="32"/>
          <w:szCs w:val="32"/>
          <w:lang w:val="en-US" w:eastAsia="zh-CN"/>
        </w:rPr>
        <w:t>严格限制皆伐改造，严禁将天然林改造为人工林。</w:t>
      </w:r>
    </w:p>
    <w:p>
      <w:pPr>
        <w:pStyle w:val="3"/>
        <w:kinsoku/>
        <w:autoSpaceDE/>
        <w:autoSpaceDN/>
        <w:adjustRightInd/>
        <w:snapToGrid/>
        <w:spacing w:line="578" w:lineRule="exact"/>
        <w:ind w:left="0" w:leftChars="0" w:firstLine="640" w:firstLineChars="200"/>
        <w:jc w:val="both"/>
        <w:textAlignment w:val="auto"/>
        <w:outlineLvl w:val="1"/>
        <w:rPr>
          <w:rFonts w:hint="eastAsia" w:ascii="宋体" w:hAnsi="宋体" w:eastAsia="方正楷体_GBK" w:cs="方正楷体_GBK"/>
          <w:color w:val="auto"/>
          <w:sz w:val="32"/>
          <w:szCs w:val="32"/>
          <w:lang w:val="en-US" w:eastAsia="zh-CN"/>
        </w:rPr>
      </w:pPr>
      <w:r>
        <w:rPr>
          <w:rFonts w:hint="eastAsia" w:ascii="宋体" w:hAnsi="宋体" w:eastAsia="方正楷体_GBK" w:cs="方正楷体_GBK"/>
          <w:color w:val="auto"/>
          <w:sz w:val="32"/>
          <w:szCs w:val="32"/>
          <w:lang w:val="en-US" w:eastAsia="zh-CN"/>
        </w:rPr>
        <w:t>（九）综合施策</w:t>
      </w:r>
    </w:p>
    <w:p>
      <w:pPr>
        <w:pStyle w:val="3"/>
        <w:spacing w:line="578" w:lineRule="exact"/>
        <w:ind w:left="0" w:leftChars="0" w:firstLine="640" w:firstLineChars="200"/>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遵循森林的自然演替规律，充分利用森林自然演替的内在动力，以自然恢复为主，自然恢复与人工修复相结合开展森林修复。根据区域自然地理条件、天然次生林主导问题、问题成因和质量等级，科学确定修复类型、修复方式和修复措施，宜造则造、宜促则促、宜补则补、宜抚则抚，提高修复的针对性，增强森林生态系统的稳定性。采取森林抚育、改造修复、促进更新、系统重建等综合措施，实施森林可持续经营，优化林分结构，提升森林质量。</w:t>
      </w:r>
    </w:p>
    <w:p>
      <w:pPr>
        <w:rPr>
          <w:rFonts w:hint="eastAsia" w:ascii="宋体" w:hAnsi="宋体" w:eastAsia="方正仿宋_GBK" w:cs="方正仿宋_GBK"/>
          <w:color w:val="auto"/>
          <w:sz w:val="32"/>
          <w:szCs w:val="32"/>
          <w:lang w:val="en-US" w:eastAsia="zh-CN"/>
        </w:rPr>
      </w:pPr>
    </w:p>
    <w:p>
      <w:pPr>
        <w:pStyle w:val="2"/>
        <w:rPr>
          <w:rFonts w:hint="default"/>
          <w:lang w:val="en-US" w:eastAsia="zh-CN"/>
        </w:rPr>
      </w:pPr>
    </w:p>
    <w:tbl>
      <w:tblPr>
        <w:tblStyle w:val="24"/>
        <w:tblW w:w="8856" w:type="dxa"/>
        <w:jc w:val="center"/>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Layout w:type="autofit"/>
        <w:tblCellMar>
          <w:top w:w="0" w:type="dxa"/>
          <w:left w:w="0" w:type="dxa"/>
          <w:bottom w:w="0" w:type="dxa"/>
          <w:right w:w="0" w:type="dxa"/>
        </w:tblCellMar>
      </w:tblPr>
      <w:tblGrid>
        <w:gridCol w:w="8856"/>
      </w:tblGrid>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tblHeader/>
          <w:jc w:val="center"/>
        </w:trPr>
        <w:tc>
          <w:tcPr>
            <w:tcW w:w="88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400" w:lineRule="exact"/>
              <w:ind w:firstLine="0" w:firstLineChars="0"/>
              <w:jc w:val="center"/>
              <w:textAlignment w:val="center"/>
              <w:rPr>
                <w:rFonts w:hint="eastAsia" w:ascii="方正楷体_GBK" w:hAnsi="方正楷体_GBK" w:eastAsia="方正楷体_GBK" w:cs="方正楷体_GBK"/>
                <w:b/>
                <w:bCs/>
                <w:snapToGrid/>
                <w:color w:val="auto"/>
                <w:kern w:val="2"/>
                <w:sz w:val="24"/>
                <w:szCs w:val="24"/>
                <w:highlight w:val="none"/>
                <w:lang w:val="en-US" w:eastAsia="zh-CN"/>
              </w:rPr>
            </w:pPr>
            <w:r>
              <w:rPr>
                <w:rFonts w:hint="eastAsia" w:ascii="宋体" w:hAnsi="宋体" w:eastAsia="方正楷体_GBK" w:cs="方正楷体_GBK"/>
                <w:b/>
                <w:bCs/>
                <w:snapToGrid/>
                <w:color w:val="auto"/>
                <w:kern w:val="2"/>
                <w:sz w:val="28"/>
                <w:szCs w:val="28"/>
                <w:highlight w:val="none"/>
                <w:lang w:eastAsia="zh-CN"/>
              </w:rPr>
              <w:t>专栏</w:t>
            </w:r>
            <w:r>
              <w:rPr>
                <w:rFonts w:hint="eastAsia" w:ascii="宋体" w:hAnsi="宋体" w:eastAsia="方正楷体_GBK" w:cs="方正楷体_GBK"/>
                <w:b/>
                <w:bCs/>
                <w:snapToGrid/>
                <w:color w:val="auto"/>
                <w:kern w:val="2"/>
                <w:sz w:val="28"/>
                <w:szCs w:val="28"/>
                <w:highlight w:val="none"/>
                <w:lang w:val="en-US" w:eastAsia="zh-CN"/>
              </w:rPr>
              <w:t>3-2</w:t>
            </w:r>
            <w:r>
              <w:rPr>
                <w:rFonts w:hint="eastAsia" w:ascii="宋体" w:hAnsi="宋体" w:eastAsia="方正楷体_GBK" w:cs="方正楷体_GBK"/>
                <w:b/>
                <w:bCs/>
                <w:snapToGrid/>
                <w:color w:val="auto"/>
                <w:kern w:val="2"/>
                <w:sz w:val="28"/>
                <w:szCs w:val="28"/>
                <w:highlight w:val="none"/>
                <w:lang w:eastAsia="zh-CN"/>
              </w:rPr>
              <w:t>：</w:t>
            </w:r>
            <w:r>
              <w:rPr>
                <w:rFonts w:hint="eastAsia" w:ascii="宋体" w:hAnsi="宋体" w:eastAsia="方正楷体_GBK" w:cs="方正楷体_GBK"/>
                <w:b/>
                <w:bCs/>
                <w:snapToGrid/>
                <w:color w:val="auto"/>
                <w:kern w:val="2"/>
                <w:sz w:val="28"/>
                <w:szCs w:val="28"/>
                <w:highlight w:val="none"/>
                <w:lang w:val="en-US" w:eastAsia="zh-CN"/>
              </w:rPr>
              <w:t>修复模式</w:t>
            </w:r>
          </w:p>
        </w:tc>
      </w:tr>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jc w:val="center"/>
        </w:trPr>
        <w:tc>
          <w:tcPr>
            <w:tcW w:w="8856" w:type="dxa"/>
            <w:tcBorders>
              <w:tl2br w:val="nil"/>
              <w:tr2bl w:val="nil"/>
            </w:tcBorders>
            <w:vAlign w:val="center"/>
          </w:tcPr>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57" w:firstLineChars="200"/>
              <w:textAlignment w:val="baseline"/>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eastAsia="zh-CN"/>
              </w:rPr>
              <w:t>模式一：森林抚育</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1</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 xml:space="preserve">对象：森林结构正常、在没有人为干预情况下能正向演替（向区域性顶级森林群落演替），但由于干扰树过多，目标树生长受抑制的幼龄林、中龄林、近熟林。 </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2</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措施：根据林分状况，采取透光伐、疏伐、生长伐、补植补播地带性树种、修枝等措施，促进目标树生长，优化林分结构，培育混交、复层、异龄林，提高森林质量，加速其向区域性顶级森林群落演替。</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57" w:firstLineChars="200"/>
              <w:textAlignment w:val="baseline"/>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eastAsia="zh-CN"/>
              </w:rPr>
              <w:t>模式二：改造修复</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1</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对象：因受环境、人为、生物等因素影响，或因生理衰退，导致郁闭度低、生长衰退、树种结构不合理、受灾受损生长活力弱的林分</w:t>
            </w:r>
            <w:r>
              <w:rPr>
                <w:rFonts w:hint="eastAsia" w:ascii="宋体" w:hAnsi="宋体" w:eastAsia="方正楷体_GBK" w:cs="方正楷体_GBK"/>
                <w:color w:val="auto"/>
                <w:kern w:val="2"/>
                <w:sz w:val="24"/>
                <w:szCs w:val="24"/>
                <w:highlight w:val="none"/>
                <w:lang w:val="en-US" w:eastAsia="zh-CN"/>
              </w:rPr>
              <w:t>或竹林</w:t>
            </w:r>
            <w:r>
              <w:rPr>
                <w:rFonts w:hint="eastAsia" w:ascii="宋体" w:hAnsi="宋体" w:eastAsia="方正楷体_GBK" w:cs="方正楷体_GBK"/>
                <w:color w:val="auto"/>
                <w:kern w:val="2"/>
                <w:sz w:val="24"/>
                <w:szCs w:val="24"/>
                <w:highlight w:val="none"/>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2</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措施：对郁闭度低的小班，进行补植补播；对生长衰退、树种结构不合理、受灾受损的小班，伐除低质木</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、枯死木</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、濒死木</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、灾害木</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、非目的树种林木，并视情况补植补播地带性树种，调整林分结构，消除或缓解各类干扰因素造成的不良影响，提高森林质量，促使其正向演替。</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57" w:firstLineChars="200"/>
              <w:textAlignment w:val="baseline"/>
              <w:rPr>
                <w:rFonts w:hint="eastAsia" w:ascii="宋体" w:hAnsi="宋体" w:eastAsia="方正楷体_GBK" w:cs="方正楷体_GBK"/>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eastAsia="zh-CN"/>
              </w:rPr>
              <w:t>模式三：促进更新</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1</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对象：生态适宜地区具有天然下种能力的母树或乔木树种幼苗、幼树、具有萌蘖能力的根株达到相应数量要求的一般灌木林、疏林及覆盖度&lt;50％的国家特别规定灌木林；具有自然繁育能力的优良林木个体数量达不到规定要求的成、过熟林；因郁闭度过大导致天然更新不良的成、过熟针叶纯林。</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spacing w:val="7"/>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2</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措施：对天然更新不良的一般灌木林、疏林及覆盖度&lt;50％的国家特别规定灌木林、具有自然繁育能力的优良林木个体数量达不到规定要求的成、过熟林实施封山育林；对因郁闭度过大导致天然更新不良的成、过熟针叶纯林，适当伐除低质木，释放一定数量生态位。视情况补植补播地带性树种，开展松土、割灌除草，营造有利于幼苗幼树天然更新的生长环境，维护森林生态系统的持续性。</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57" w:firstLineChars="200"/>
              <w:textAlignment w:val="baseline"/>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eastAsia="zh-CN"/>
              </w:rPr>
              <w:t>模式四：系统重建</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1</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对象：生态适宜地区具有天然下种能力的母树或乔木树种幼苗、幼树、具有萌蘖能力的根株达不到相应数量要求的一般灌木林、疏林、迹地。</w:t>
            </w:r>
          </w:p>
          <w:p>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both"/>
              <w:textAlignment w:val="baseline"/>
              <w:rPr>
                <w:rFonts w:hint="eastAsia" w:ascii="方正楷体_GBK" w:hAnsi="方正楷体_GBK" w:eastAsia="方正楷体_GBK" w:cs="方正楷体_GBK"/>
                <w:color w:val="auto"/>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2</w:t>
            </w:r>
            <w:r>
              <w:rPr>
                <w:rFonts w:hint="eastAsia" w:ascii="宋体" w:hAnsi="宋体" w:eastAsia="方正楷体_GBK" w:cs="方正楷体_GBK"/>
                <w:color w:val="auto"/>
                <w:kern w:val="2"/>
                <w:sz w:val="24"/>
                <w:szCs w:val="24"/>
                <w:highlight w:val="none"/>
                <w:lang w:val="en-US" w:eastAsia="zh-CN"/>
              </w:rPr>
              <w:t>)</w:t>
            </w:r>
            <w:r>
              <w:rPr>
                <w:rFonts w:hint="eastAsia" w:ascii="宋体" w:hAnsi="宋体" w:eastAsia="方正楷体_GBK" w:cs="方正楷体_GBK"/>
                <w:color w:val="auto"/>
                <w:kern w:val="2"/>
                <w:sz w:val="24"/>
                <w:szCs w:val="24"/>
                <w:highlight w:val="none"/>
                <w:lang w:eastAsia="zh-CN"/>
              </w:rPr>
              <w:t>措施：采用地带性树种开展近自然造林，快速营建森林环境，为正向演替奠定基础</w:t>
            </w:r>
            <w:r>
              <w:rPr>
                <w:rFonts w:hint="eastAsia" w:ascii="宋体" w:hAnsi="宋体" w:eastAsia="方正楷体_GBK" w:cs="方正楷体_GBK"/>
                <w:color w:val="auto"/>
                <w:kern w:val="2"/>
                <w:sz w:val="21"/>
                <w:szCs w:val="21"/>
                <w:highlight w:val="none"/>
                <w:lang w:eastAsia="zh-CN"/>
              </w:rPr>
              <w:t>。</w:t>
            </w:r>
          </w:p>
        </w:tc>
      </w:tr>
    </w:tbl>
    <w:p>
      <w:pPr>
        <w:pStyle w:val="2"/>
        <w:keepNext w:val="0"/>
        <w:keepLines w:val="0"/>
        <w:pageBreakBefore w:val="0"/>
        <w:widowControl/>
        <w:wordWrap/>
        <w:overflowPunct/>
        <w:topLinePunct w:val="0"/>
        <w:bidi w:val="0"/>
        <w:spacing w:line="578" w:lineRule="exact"/>
        <w:ind w:firstLine="640" w:firstLineChars="200"/>
        <w:jc w:val="both"/>
        <w:outlineLvl w:val="1"/>
        <w:rPr>
          <w:rFonts w:hint="default" w:ascii="宋体" w:hAnsi="宋体" w:eastAsia="方正楷体_GBK" w:cs="方正楷体_GBK"/>
          <w:color w:val="auto"/>
          <w:sz w:val="32"/>
          <w:szCs w:val="32"/>
          <w:highlight w:val="none"/>
          <w:lang w:val="en-US" w:eastAsia="zh-CN"/>
        </w:rPr>
      </w:pPr>
      <w:r>
        <w:rPr>
          <w:rFonts w:hint="eastAsia" w:ascii="宋体" w:hAnsi="宋体" w:eastAsia="方正楷体_GBK" w:cs="方正楷体_GBK"/>
          <w:color w:val="auto"/>
          <w:sz w:val="32"/>
          <w:szCs w:val="32"/>
          <w:highlight w:val="none"/>
          <w:lang w:val="en-US" w:eastAsia="zh-CN"/>
        </w:rPr>
        <w:t>（十）典型示范</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根据自然地理和森林资源状况，全省5个修复区按照森林类型和功能定位，打造10个修复典型模式。通过设立标准样地和对照样地，开展跟踪监测与对比分析，持续探索天然林生态功能恢复、森林可持续经营、固碳储碳等方面技术，不断优化修复经营措施，形成可复制、可推广的典型经验，为提升森林质量效益提供实践支撑。</w:t>
      </w:r>
    </w:p>
    <w:p>
      <w:pPr>
        <w:pStyle w:val="3"/>
        <w:rPr>
          <w:rFonts w:hint="eastAsia" w:ascii="宋体" w:hAnsi="宋体" w:eastAsia="方正仿宋_GBK" w:cs="方正仿宋_GBK"/>
          <w:color w:val="auto"/>
          <w:sz w:val="32"/>
          <w:szCs w:val="32"/>
          <w:lang w:val="en-US" w:eastAsia="zh-CN"/>
        </w:rPr>
      </w:pPr>
    </w:p>
    <w:p>
      <w:pPr>
        <w:rPr>
          <w:rFonts w:hint="eastAsia"/>
          <w:lang w:val="en-US" w:eastAsia="zh-CN"/>
        </w:rPr>
      </w:pPr>
    </w:p>
    <w:tbl>
      <w:tblPr>
        <w:tblStyle w:val="24"/>
        <w:tblW w:w="8856" w:type="dxa"/>
        <w:jc w:val="center"/>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Layout w:type="autofit"/>
        <w:tblCellMar>
          <w:top w:w="0" w:type="dxa"/>
          <w:left w:w="0" w:type="dxa"/>
          <w:bottom w:w="0" w:type="dxa"/>
          <w:right w:w="0" w:type="dxa"/>
        </w:tblCellMar>
      </w:tblPr>
      <w:tblGrid>
        <w:gridCol w:w="8856"/>
      </w:tblGrid>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tblHeader/>
          <w:jc w:val="center"/>
        </w:trPr>
        <w:tc>
          <w:tcPr>
            <w:tcW w:w="88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val="0"/>
              <w:spacing w:line="400" w:lineRule="exact"/>
              <w:ind w:firstLine="562" w:firstLineChars="200"/>
              <w:jc w:val="center"/>
              <w:textAlignment w:val="center"/>
              <w:rPr>
                <w:rFonts w:hint="eastAsia" w:ascii="方正楷体_GBK" w:hAnsi="方正楷体_GBK" w:eastAsia="方正楷体_GBK" w:cs="方正楷体_GBK"/>
                <w:b/>
                <w:bCs/>
                <w:snapToGrid/>
                <w:color w:val="auto"/>
                <w:kern w:val="2"/>
                <w:sz w:val="24"/>
                <w:szCs w:val="24"/>
                <w:highlight w:val="none"/>
                <w:lang w:val="en-US" w:eastAsia="zh-CN"/>
              </w:rPr>
            </w:pPr>
            <w:r>
              <w:rPr>
                <w:rFonts w:hint="eastAsia" w:ascii="宋体" w:hAnsi="宋体" w:eastAsia="方正楷体_GBK" w:cs="方正楷体_GBK"/>
                <w:b/>
                <w:bCs/>
                <w:snapToGrid/>
                <w:color w:val="auto"/>
                <w:kern w:val="2"/>
                <w:sz w:val="28"/>
                <w:szCs w:val="28"/>
                <w:highlight w:val="none"/>
                <w:lang w:eastAsia="zh-CN"/>
              </w:rPr>
              <w:t>专栏</w:t>
            </w:r>
            <w:r>
              <w:rPr>
                <w:rFonts w:hint="eastAsia" w:ascii="宋体" w:hAnsi="宋体" w:eastAsia="方正楷体_GBK" w:cs="方正楷体_GBK"/>
                <w:b/>
                <w:bCs/>
                <w:snapToGrid/>
                <w:color w:val="auto"/>
                <w:kern w:val="2"/>
                <w:sz w:val="28"/>
                <w:szCs w:val="28"/>
                <w:highlight w:val="none"/>
                <w:lang w:val="en-US" w:eastAsia="zh-CN"/>
              </w:rPr>
              <w:t>3-3</w:t>
            </w:r>
            <w:r>
              <w:rPr>
                <w:rFonts w:hint="eastAsia" w:ascii="宋体" w:hAnsi="宋体" w:eastAsia="方正楷体_GBK" w:cs="方正楷体_GBK"/>
                <w:b/>
                <w:bCs/>
                <w:snapToGrid/>
                <w:color w:val="auto"/>
                <w:kern w:val="2"/>
                <w:sz w:val="28"/>
                <w:szCs w:val="28"/>
                <w:highlight w:val="none"/>
                <w:lang w:eastAsia="zh-CN"/>
              </w:rPr>
              <w:t>：</w:t>
            </w:r>
            <w:r>
              <w:rPr>
                <w:rFonts w:hint="eastAsia" w:ascii="宋体" w:hAnsi="宋体" w:eastAsia="方正楷体_GBK" w:cs="方正楷体_GBK"/>
                <w:b/>
                <w:bCs/>
                <w:snapToGrid/>
                <w:color w:val="auto"/>
                <w:kern w:val="2"/>
                <w:sz w:val="28"/>
                <w:szCs w:val="28"/>
                <w:highlight w:val="none"/>
                <w:lang w:val="en-US" w:eastAsia="zh-CN"/>
              </w:rPr>
              <w:t>典型</w:t>
            </w:r>
            <w:r>
              <w:rPr>
                <w:rFonts w:hint="eastAsia" w:eastAsia="方正楷体_GBK" w:cs="方正楷体_GBK"/>
                <w:b/>
                <w:bCs/>
                <w:snapToGrid/>
                <w:color w:val="auto"/>
                <w:kern w:val="2"/>
                <w:sz w:val="28"/>
                <w:szCs w:val="28"/>
                <w:highlight w:val="none"/>
                <w:lang w:val="en-US" w:eastAsia="zh-CN"/>
              </w:rPr>
              <w:t>示范</w:t>
            </w:r>
          </w:p>
        </w:tc>
      </w:tr>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jc w:val="center"/>
        </w:trPr>
        <w:tc>
          <w:tcPr>
            <w:tcW w:w="8856" w:type="dxa"/>
            <w:tcBorders>
              <w:tl2br w:val="nil"/>
              <w:tr2bl w:val="nil"/>
            </w:tcBorders>
            <w:vAlign w:val="center"/>
          </w:tcPr>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eastAsia="zh-CN"/>
              </w:rPr>
            </w:pPr>
            <w:r>
              <w:rPr>
                <w:rFonts w:hint="eastAsia" w:ascii="宋体" w:hAnsi="宋体" w:eastAsia="方正楷体_GBK" w:cs="方正楷体_GBK"/>
                <w:b/>
                <w:bCs/>
                <w:snapToGrid/>
                <w:color w:val="auto"/>
                <w:spacing w:val="-6"/>
                <w:kern w:val="2"/>
                <w:sz w:val="24"/>
                <w:szCs w:val="24"/>
                <w:highlight w:val="none"/>
                <w:lang w:val="en-US" w:eastAsia="zh-CN"/>
              </w:rPr>
              <w:t>1.乔木林郁闭度提升</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default"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布设在青藏高原东南缘修复区，修复对象为郁闭度&lt;0.4，依靠自然力难以恢复的中龄及以上乔木林，修复模式设计为改造修复</w:t>
            </w:r>
            <w:r>
              <w:rPr>
                <w:rFonts w:hint="eastAsia" w:ascii="宋体" w:hAnsi="宋体" w:eastAsia="方正楷体_GBK" w:cs="方正楷体_GBK"/>
                <w:color w:val="auto"/>
                <w:kern w:val="2"/>
                <w:sz w:val="24"/>
                <w:szCs w:val="24"/>
                <w:highlight w:val="none"/>
                <w:lang w:eastAsia="zh-CN"/>
              </w:rPr>
              <w:t>。补植补播地带性树种，</w:t>
            </w:r>
            <w:r>
              <w:rPr>
                <w:rFonts w:hint="eastAsia" w:ascii="宋体" w:hAnsi="宋体" w:eastAsia="方正楷体_GBK" w:cs="方正楷体_GBK"/>
                <w:color w:val="auto"/>
                <w:kern w:val="2"/>
                <w:sz w:val="24"/>
                <w:szCs w:val="24"/>
                <w:highlight w:val="none"/>
                <w:lang w:val="en-US" w:eastAsia="zh-CN"/>
              </w:rPr>
              <w:t>增加林分郁闭度，增强生态系统服务功能。</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2.天然更新不良成、过熟林促进更新</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eastAsia" w:ascii="宋体" w:hAnsi="宋体" w:eastAsia="方正楷体_GBK" w:cs="方正楷体_GBK"/>
                <w:color w:val="auto"/>
                <w:kern w:val="2"/>
                <w:sz w:val="24"/>
                <w:szCs w:val="24"/>
                <w:highlight w:val="yellow"/>
                <w:lang w:val="en-US" w:eastAsia="zh-CN"/>
              </w:rPr>
            </w:pPr>
            <w:r>
              <w:rPr>
                <w:rFonts w:hint="eastAsia" w:ascii="宋体" w:hAnsi="宋体" w:eastAsia="方正楷体_GBK" w:cs="方正楷体_GBK"/>
                <w:color w:val="auto"/>
                <w:kern w:val="2"/>
                <w:sz w:val="24"/>
                <w:szCs w:val="24"/>
                <w:highlight w:val="none"/>
                <w:lang w:val="en-US" w:eastAsia="zh-CN"/>
              </w:rPr>
              <w:t>布设在青藏高原东南缘修复区，修复对象为郁闭度≥0.8，乔木树种天然更新不良，林下胸径小于5cm幼苗幼树株数＜500株/hm</w:t>
            </w:r>
            <w:r>
              <w:rPr>
                <w:rFonts w:hint="eastAsia" w:ascii="宋体" w:hAnsi="宋体" w:eastAsia="方正楷体_GBK" w:cs="方正楷体_GBK"/>
                <w:color w:val="auto"/>
                <w:kern w:val="2"/>
                <w:sz w:val="24"/>
                <w:szCs w:val="24"/>
                <w:highlight w:val="none"/>
                <w:vertAlign w:val="superscript"/>
                <w:lang w:val="en-US" w:eastAsia="zh-CN"/>
              </w:rPr>
              <w:t>2</w:t>
            </w:r>
            <w:r>
              <w:rPr>
                <w:rFonts w:hint="eastAsia" w:ascii="宋体" w:hAnsi="宋体" w:eastAsia="方正楷体_GBK" w:cs="方正楷体_GBK"/>
                <w:color w:val="auto"/>
                <w:kern w:val="2"/>
                <w:sz w:val="24"/>
                <w:szCs w:val="24"/>
                <w:highlight w:val="none"/>
                <w:lang w:val="en-US" w:eastAsia="zh-CN"/>
              </w:rPr>
              <w:t>的成、过熟针叶纯林，修复模式设计为促进更新。</w:t>
            </w:r>
            <w:r>
              <w:rPr>
                <w:rFonts w:hint="eastAsia" w:ascii="宋体" w:hAnsi="宋体" w:eastAsia="方正楷体_GBK" w:cs="方正楷体_GBK"/>
                <w:color w:val="auto"/>
                <w:kern w:val="2"/>
                <w:sz w:val="24"/>
                <w:szCs w:val="24"/>
                <w:highlight w:val="none"/>
                <w:lang w:eastAsia="zh-CN"/>
              </w:rPr>
              <w:t>适当伐除低质木（</w:t>
            </w:r>
            <w:r>
              <w:rPr>
                <w:rFonts w:hint="eastAsia" w:ascii="宋体" w:hAnsi="宋体" w:eastAsia="方正楷体_GBK" w:cs="方正楷体_GBK"/>
                <w:color w:val="auto"/>
                <w:kern w:val="2"/>
                <w:sz w:val="24"/>
                <w:szCs w:val="24"/>
                <w:highlight w:val="none"/>
                <w:lang w:val="en-US" w:eastAsia="zh-CN"/>
              </w:rPr>
              <w:t>伐后林分郁闭度≥0.6</w:t>
            </w:r>
            <w:r>
              <w:rPr>
                <w:rFonts w:hint="eastAsia" w:ascii="宋体" w:hAnsi="宋体" w:eastAsia="方正楷体_GBK" w:cs="方正楷体_GBK"/>
                <w:color w:val="auto"/>
                <w:kern w:val="2"/>
                <w:sz w:val="24"/>
                <w:szCs w:val="24"/>
                <w:highlight w:val="none"/>
                <w:lang w:eastAsia="zh-CN"/>
              </w:rPr>
              <w:t>），释放一定数量生态位，</w:t>
            </w:r>
            <w:r>
              <w:rPr>
                <w:rFonts w:hint="eastAsia" w:ascii="宋体" w:hAnsi="宋体" w:eastAsia="方正楷体_GBK" w:cs="方正楷体_GBK"/>
                <w:color w:val="auto"/>
                <w:kern w:val="2"/>
                <w:sz w:val="24"/>
                <w:szCs w:val="24"/>
                <w:highlight w:val="none"/>
                <w:lang w:val="en-US" w:eastAsia="zh-CN"/>
              </w:rPr>
              <w:t>并</w:t>
            </w:r>
            <w:r>
              <w:rPr>
                <w:rFonts w:hint="eastAsia" w:ascii="宋体" w:hAnsi="宋体" w:eastAsia="方正楷体_GBK" w:cs="方正楷体_GBK"/>
                <w:color w:val="auto"/>
                <w:kern w:val="2"/>
                <w:sz w:val="24"/>
                <w:szCs w:val="24"/>
                <w:highlight w:val="none"/>
                <w:lang w:eastAsia="zh-CN"/>
              </w:rPr>
              <w:t>视情况补植补播地带性</w:t>
            </w:r>
            <w:r>
              <w:rPr>
                <w:rFonts w:hint="eastAsia" w:ascii="宋体" w:hAnsi="宋体" w:eastAsia="方正楷体_GBK" w:cs="方正楷体_GBK"/>
                <w:color w:val="auto"/>
                <w:kern w:val="2"/>
                <w:sz w:val="24"/>
                <w:szCs w:val="24"/>
                <w:highlight w:val="none"/>
                <w:lang w:val="en-US" w:eastAsia="zh-CN"/>
              </w:rPr>
              <w:t>阔叶</w:t>
            </w:r>
            <w:r>
              <w:rPr>
                <w:rFonts w:hint="eastAsia" w:ascii="宋体" w:hAnsi="宋体" w:eastAsia="方正楷体_GBK" w:cs="方正楷体_GBK"/>
                <w:color w:val="auto"/>
                <w:kern w:val="2"/>
                <w:sz w:val="24"/>
                <w:szCs w:val="24"/>
                <w:highlight w:val="none"/>
                <w:lang w:eastAsia="zh-CN"/>
              </w:rPr>
              <w:t>树种，</w:t>
            </w:r>
            <w:r>
              <w:rPr>
                <w:rFonts w:hint="eastAsia" w:ascii="宋体" w:hAnsi="宋体" w:eastAsia="方正楷体_GBK" w:cs="方正楷体_GBK"/>
                <w:color w:val="auto"/>
                <w:kern w:val="2"/>
                <w:sz w:val="24"/>
                <w:szCs w:val="24"/>
                <w:highlight w:val="none"/>
                <w:lang w:val="en-US" w:eastAsia="zh-CN"/>
              </w:rPr>
              <w:t>围绕目标树和目的树种幼苗幼树周围</w:t>
            </w:r>
            <w:r>
              <w:rPr>
                <w:rFonts w:hint="eastAsia" w:ascii="宋体" w:hAnsi="宋体" w:eastAsia="方正楷体_GBK" w:cs="方正楷体_GBK"/>
                <w:color w:val="auto"/>
                <w:kern w:val="2"/>
                <w:sz w:val="24"/>
                <w:szCs w:val="24"/>
                <w:highlight w:val="none"/>
                <w:lang w:eastAsia="zh-CN"/>
              </w:rPr>
              <w:t>开展松土、割灌除草，营造有利于幼苗幼树天然更新的生长环境，维护森林生态系统的持续性。</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3.思茅松纯林树种结构调整</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default"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布设在南部边境修复区，修复对象为思茅松株数占比≥70％的中龄林，修复模式设计为改造修复。</w:t>
            </w:r>
            <w:r>
              <w:rPr>
                <w:rFonts w:hint="eastAsia" w:ascii="宋体" w:hAnsi="宋体" w:eastAsia="方正楷体_GBK" w:cs="方正楷体_GBK"/>
                <w:color w:val="auto"/>
                <w:kern w:val="2"/>
                <w:sz w:val="24"/>
                <w:szCs w:val="24"/>
                <w:highlight w:val="none"/>
                <w:lang w:eastAsia="zh-CN"/>
              </w:rPr>
              <w:t>伐除低质木、枯死木、濒死木、灾害木，补植补播地带性</w:t>
            </w:r>
            <w:r>
              <w:rPr>
                <w:rFonts w:hint="eastAsia" w:ascii="宋体" w:hAnsi="宋体" w:eastAsia="方正楷体_GBK" w:cs="方正楷体_GBK"/>
                <w:color w:val="auto"/>
                <w:kern w:val="2"/>
                <w:sz w:val="24"/>
                <w:szCs w:val="24"/>
                <w:highlight w:val="none"/>
                <w:lang w:val="en-US" w:eastAsia="zh-CN"/>
              </w:rPr>
              <w:t>阔叶</w:t>
            </w:r>
            <w:r>
              <w:rPr>
                <w:rFonts w:hint="eastAsia" w:ascii="宋体" w:hAnsi="宋体" w:eastAsia="方正楷体_GBK" w:cs="方正楷体_GBK"/>
                <w:color w:val="auto"/>
                <w:kern w:val="2"/>
                <w:sz w:val="24"/>
                <w:szCs w:val="24"/>
                <w:highlight w:val="none"/>
                <w:lang w:eastAsia="zh-CN"/>
              </w:rPr>
              <w:t>树种，调整林分</w:t>
            </w:r>
            <w:r>
              <w:rPr>
                <w:rFonts w:hint="eastAsia" w:ascii="宋体" w:hAnsi="宋体" w:eastAsia="方正楷体_GBK" w:cs="方正楷体_GBK"/>
                <w:color w:val="auto"/>
                <w:kern w:val="2"/>
                <w:sz w:val="24"/>
                <w:szCs w:val="24"/>
                <w:highlight w:val="none"/>
                <w:lang w:val="en-US" w:eastAsia="zh-CN"/>
              </w:rPr>
              <w:t>树种</w:t>
            </w:r>
            <w:r>
              <w:rPr>
                <w:rFonts w:hint="eastAsia" w:ascii="宋体" w:hAnsi="宋体" w:eastAsia="方正楷体_GBK" w:cs="方正楷体_GBK"/>
                <w:color w:val="auto"/>
                <w:kern w:val="2"/>
                <w:sz w:val="24"/>
                <w:szCs w:val="24"/>
                <w:highlight w:val="none"/>
                <w:lang w:eastAsia="zh-CN"/>
              </w:rPr>
              <w:t>结构，</w:t>
            </w:r>
            <w:r>
              <w:rPr>
                <w:rFonts w:hint="eastAsia" w:ascii="宋体" w:hAnsi="宋体" w:eastAsia="方正楷体_GBK" w:cs="方正楷体_GBK"/>
                <w:color w:val="auto"/>
                <w:kern w:val="2"/>
                <w:sz w:val="24"/>
                <w:szCs w:val="24"/>
                <w:highlight w:val="none"/>
                <w:lang w:val="en-US" w:eastAsia="zh-CN"/>
              </w:rPr>
              <w:t>以形成更加稳定可持续的森林生态系统。</w:t>
            </w:r>
          </w:p>
          <w:p>
            <w:pPr>
              <w:pStyle w:val="2"/>
              <w:autoSpaceDE/>
              <w:autoSpaceDN/>
              <w:spacing w:line="400" w:lineRule="exact"/>
              <w:ind w:firstLine="457" w:firstLineChars="200"/>
              <w:rPr>
                <w:rFonts w:hint="eastAsia" w:ascii="宋体" w:hAnsi="宋体" w:eastAsia="方正楷体_GBK" w:cs="方正楷体_GBK"/>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4.森林抚育模式</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eastAsia" w:ascii="宋体" w:hAnsi="宋体" w:eastAsia="方正楷体_GBK" w:cs="方正楷体_GBK"/>
                <w:color w:val="auto"/>
                <w:kern w:val="2"/>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布设在南部边境修复区，修复对象为立地条件良好，郁闭度≥0.8的中龄林、近熟林，在进行林木分类后，存在需伐除的干扰树，修复模式设计为森林抚育。伐除干扰树</w:t>
            </w:r>
            <w:r>
              <w:rPr>
                <w:rFonts w:hint="eastAsia" w:ascii="宋体" w:hAnsi="宋体" w:eastAsia="方正楷体_GBK" w:cs="方正楷体_GBK"/>
                <w:color w:val="auto"/>
                <w:kern w:val="2"/>
                <w:sz w:val="24"/>
                <w:szCs w:val="24"/>
                <w:highlight w:val="none"/>
                <w:lang w:eastAsia="zh-CN"/>
              </w:rPr>
              <w:t>，</w:t>
            </w:r>
            <w:r>
              <w:rPr>
                <w:rFonts w:hint="eastAsia" w:ascii="宋体" w:hAnsi="宋体" w:eastAsia="方正楷体_GBK" w:cs="方正楷体_GBK"/>
                <w:color w:val="auto"/>
                <w:kern w:val="2"/>
                <w:sz w:val="24"/>
                <w:szCs w:val="24"/>
                <w:highlight w:val="none"/>
                <w:lang w:val="en-US" w:eastAsia="zh-CN"/>
              </w:rPr>
              <w:t>视情况采取</w:t>
            </w:r>
            <w:r>
              <w:rPr>
                <w:rFonts w:hint="eastAsia" w:ascii="宋体" w:hAnsi="宋体" w:eastAsia="方正楷体_GBK" w:cs="方正楷体_GBK"/>
                <w:color w:val="auto"/>
                <w:kern w:val="2"/>
                <w:sz w:val="24"/>
                <w:szCs w:val="24"/>
                <w:highlight w:val="none"/>
                <w:lang w:eastAsia="zh-CN"/>
              </w:rPr>
              <w:t>补植补播地带性树种、修枝等措施，促进目标树生长，优化林分结构，培育混交、复层、异龄林，提高森林质量，加速其向区域性顶级森林群落演替。</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5.云南松纯林树种结构调整</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eastAsia"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布设在哀牢山无量山修复区，修复对象为云南松株数占比≥70％的中龄林，修复模式设计为改造修复。</w:t>
            </w:r>
            <w:r>
              <w:rPr>
                <w:rFonts w:hint="eastAsia" w:ascii="宋体" w:hAnsi="宋体" w:eastAsia="方正楷体_GBK" w:cs="方正楷体_GBK"/>
                <w:color w:val="auto"/>
                <w:kern w:val="2"/>
                <w:sz w:val="24"/>
                <w:szCs w:val="24"/>
                <w:highlight w:val="none"/>
                <w:lang w:eastAsia="zh-CN"/>
              </w:rPr>
              <w:t>伐除低质木、枯死木、濒死木、灾害木，补植补播地带性</w:t>
            </w:r>
            <w:r>
              <w:rPr>
                <w:rFonts w:hint="eastAsia" w:ascii="宋体" w:hAnsi="宋体" w:eastAsia="方正楷体_GBK" w:cs="方正楷体_GBK"/>
                <w:color w:val="auto"/>
                <w:kern w:val="2"/>
                <w:sz w:val="24"/>
                <w:szCs w:val="24"/>
                <w:highlight w:val="none"/>
                <w:lang w:val="en-US" w:eastAsia="zh-CN"/>
              </w:rPr>
              <w:t>阔叶</w:t>
            </w:r>
            <w:r>
              <w:rPr>
                <w:rFonts w:hint="eastAsia" w:ascii="宋体" w:hAnsi="宋体" w:eastAsia="方正楷体_GBK" w:cs="方正楷体_GBK"/>
                <w:color w:val="auto"/>
                <w:kern w:val="2"/>
                <w:sz w:val="24"/>
                <w:szCs w:val="24"/>
                <w:highlight w:val="none"/>
                <w:lang w:eastAsia="zh-CN"/>
              </w:rPr>
              <w:t>树种，调整林分</w:t>
            </w:r>
            <w:r>
              <w:rPr>
                <w:rFonts w:hint="eastAsia" w:ascii="宋体" w:hAnsi="宋体" w:eastAsia="方正楷体_GBK" w:cs="方正楷体_GBK"/>
                <w:color w:val="auto"/>
                <w:kern w:val="2"/>
                <w:sz w:val="24"/>
                <w:szCs w:val="24"/>
                <w:highlight w:val="none"/>
                <w:lang w:val="en-US" w:eastAsia="zh-CN"/>
              </w:rPr>
              <w:t>树种</w:t>
            </w:r>
            <w:r>
              <w:rPr>
                <w:rFonts w:hint="eastAsia" w:ascii="宋体" w:hAnsi="宋体" w:eastAsia="方正楷体_GBK" w:cs="方正楷体_GBK"/>
                <w:color w:val="auto"/>
                <w:kern w:val="2"/>
                <w:sz w:val="24"/>
                <w:szCs w:val="24"/>
                <w:highlight w:val="none"/>
                <w:lang w:eastAsia="zh-CN"/>
              </w:rPr>
              <w:t>结构，</w:t>
            </w:r>
            <w:r>
              <w:rPr>
                <w:rFonts w:hint="eastAsia" w:ascii="宋体" w:hAnsi="宋体" w:eastAsia="方正楷体_GBK" w:cs="方正楷体_GBK"/>
                <w:color w:val="auto"/>
                <w:kern w:val="2"/>
                <w:sz w:val="24"/>
                <w:szCs w:val="24"/>
                <w:highlight w:val="none"/>
                <w:lang w:val="en-US" w:eastAsia="zh-CN"/>
              </w:rPr>
              <w:t>以形成更加稳定可持续的森林生态系统。</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6.目的树种比例提升</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default"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布设在哀牢山无量山修复区，修复对象为目的树种（可以是多个）株数、断面积或蓄积占比＜40％的乔木林，修复模式设计为改造修复。</w:t>
            </w:r>
            <w:r>
              <w:rPr>
                <w:rFonts w:hint="eastAsia" w:ascii="宋体" w:hAnsi="宋体" w:eastAsia="方正楷体_GBK" w:cs="方正楷体_GBK"/>
                <w:color w:val="auto"/>
                <w:kern w:val="2"/>
                <w:sz w:val="24"/>
                <w:szCs w:val="24"/>
                <w:highlight w:val="none"/>
                <w:lang w:eastAsia="zh-CN"/>
              </w:rPr>
              <w:t>伐除非目的树种林木，并视</w:t>
            </w:r>
            <w:r>
              <w:rPr>
                <w:rFonts w:hint="eastAsia" w:ascii="宋体" w:hAnsi="宋体" w:eastAsia="方正楷体_GBK" w:cs="方正楷体_GBK"/>
                <w:color w:val="auto"/>
                <w:kern w:val="2"/>
                <w:sz w:val="24"/>
                <w:szCs w:val="24"/>
                <w:highlight w:val="none"/>
                <w:lang w:val="en-US" w:eastAsia="zh-CN"/>
              </w:rPr>
              <w:t>林木分布</w:t>
            </w:r>
            <w:r>
              <w:rPr>
                <w:rFonts w:hint="eastAsia" w:ascii="宋体" w:hAnsi="宋体" w:eastAsia="方正楷体_GBK" w:cs="方正楷体_GBK"/>
                <w:color w:val="auto"/>
                <w:kern w:val="2"/>
                <w:sz w:val="24"/>
                <w:szCs w:val="24"/>
                <w:highlight w:val="none"/>
                <w:lang w:eastAsia="zh-CN"/>
              </w:rPr>
              <w:t>情况补植补播</w:t>
            </w:r>
            <w:r>
              <w:rPr>
                <w:rFonts w:hint="eastAsia" w:ascii="宋体" w:hAnsi="宋体" w:eastAsia="方正楷体_GBK" w:cs="方正楷体_GBK"/>
                <w:color w:val="auto"/>
                <w:kern w:val="2"/>
                <w:sz w:val="24"/>
                <w:szCs w:val="24"/>
                <w:highlight w:val="none"/>
                <w:lang w:val="en-US" w:eastAsia="zh-CN"/>
              </w:rPr>
              <w:t>目的</w:t>
            </w:r>
            <w:r>
              <w:rPr>
                <w:rFonts w:hint="eastAsia" w:ascii="宋体" w:hAnsi="宋体" w:eastAsia="方正楷体_GBK" w:cs="方正楷体_GBK"/>
                <w:color w:val="auto"/>
                <w:kern w:val="2"/>
                <w:sz w:val="24"/>
                <w:szCs w:val="24"/>
                <w:highlight w:val="none"/>
                <w:lang w:eastAsia="zh-CN"/>
              </w:rPr>
              <w:t>树种，调整林分</w:t>
            </w:r>
            <w:r>
              <w:rPr>
                <w:rFonts w:hint="eastAsia" w:ascii="宋体" w:hAnsi="宋体" w:eastAsia="方正楷体_GBK" w:cs="方正楷体_GBK"/>
                <w:color w:val="auto"/>
                <w:kern w:val="2"/>
                <w:sz w:val="24"/>
                <w:szCs w:val="24"/>
                <w:highlight w:val="none"/>
                <w:lang w:val="en-US" w:eastAsia="zh-CN"/>
              </w:rPr>
              <w:t>树种</w:t>
            </w:r>
            <w:r>
              <w:rPr>
                <w:rFonts w:hint="eastAsia" w:ascii="宋体" w:hAnsi="宋体" w:eastAsia="方正楷体_GBK" w:cs="方正楷体_GBK"/>
                <w:color w:val="auto"/>
                <w:kern w:val="2"/>
                <w:sz w:val="24"/>
                <w:szCs w:val="24"/>
                <w:highlight w:val="none"/>
                <w:lang w:eastAsia="zh-CN"/>
              </w:rPr>
              <w:t>结构，</w:t>
            </w:r>
            <w:r>
              <w:rPr>
                <w:rFonts w:hint="eastAsia" w:ascii="宋体" w:hAnsi="宋体" w:eastAsia="方正楷体_GBK" w:cs="方正楷体_GBK"/>
                <w:color w:val="auto"/>
                <w:kern w:val="2"/>
                <w:sz w:val="24"/>
                <w:szCs w:val="24"/>
                <w:highlight w:val="none"/>
                <w:lang w:val="en-US" w:eastAsia="zh-CN"/>
              </w:rPr>
              <w:t>增强森林主导服务功能。</w:t>
            </w:r>
          </w:p>
          <w:p>
            <w:pPr>
              <w:pStyle w:val="2"/>
              <w:autoSpaceDE/>
              <w:autoSpaceDN/>
              <w:spacing w:line="400" w:lineRule="exact"/>
              <w:ind w:firstLine="457" w:firstLineChars="200"/>
              <w:rPr>
                <w:rFonts w:hint="eastAsia" w:ascii="宋体" w:hAnsi="宋体" w:eastAsia="方正楷体_GBK" w:cs="方正楷体_GBK"/>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7.扭曲云南松林更新改造</w:t>
            </w:r>
          </w:p>
          <w:p>
            <w:pPr>
              <w:pStyle w:val="2"/>
              <w:keepNext w:val="0"/>
              <w:keepLines w:val="0"/>
              <w:pageBreakBefore w:val="0"/>
              <w:widowControl/>
              <w:kinsoku/>
              <w:wordWrap/>
              <w:overflowPunct/>
              <w:topLinePunct w:val="0"/>
              <w:autoSpaceDE/>
              <w:autoSpaceDN/>
              <w:bidi w:val="0"/>
              <w:spacing w:line="400" w:lineRule="exact"/>
              <w:ind w:firstLine="480" w:firstLineChars="200"/>
              <w:jc w:val="both"/>
              <w:rPr>
                <w:rFonts w:hint="default"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金沙江干热河谷修复区和哀牢山无量山修复区，修复对象为主干扭曲林木株数占比&gt;80％的中龄及以上云南松林，修复模式设计为改造修复。沿等高线每隔6m，在6m宽的改造带内伐除主干扭曲的云南松林木，并视保留木分布情况补植补播地带性树种，实现优良化、混交化改造，提升林分质量。</w:t>
            </w:r>
          </w:p>
          <w:p>
            <w:pPr>
              <w:pStyle w:val="2"/>
              <w:kinsoku/>
              <w:autoSpaceDE/>
              <w:autoSpaceDN/>
              <w:spacing w:line="400" w:lineRule="exact"/>
              <w:ind w:firstLine="457" w:firstLineChars="200"/>
              <w:rPr>
                <w:rFonts w:hint="eastAsia" w:ascii="宋体" w:hAnsi="宋体" w:eastAsia="方正楷体_GBK" w:cs="方正楷体_GBK"/>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8.竹林经营</w:t>
            </w:r>
          </w:p>
          <w:p>
            <w:pPr>
              <w:pStyle w:val="2"/>
              <w:keepNext w:val="0"/>
              <w:keepLines w:val="0"/>
              <w:pageBreakBefore w:val="0"/>
              <w:widowControl/>
              <w:kinsoku/>
              <w:wordWrap/>
              <w:overflowPunct/>
              <w:topLinePunct w:val="0"/>
              <w:autoSpaceDE/>
              <w:autoSpaceDN/>
              <w:bidi w:val="0"/>
              <w:spacing w:line="400" w:lineRule="exact"/>
              <w:ind w:firstLine="480" w:firstLineChars="200"/>
              <w:jc w:val="both"/>
              <w:rPr>
                <w:rFonts w:hint="eastAsia"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布设在金沙江干热河谷修复区，修复对象为老龄竹株数占比&gt;50％的竹林，修复模式设计为改造修复。</w:t>
            </w:r>
            <w:r>
              <w:rPr>
                <w:rFonts w:hint="eastAsia" w:ascii="宋体" w:hAnsi="宋体" w:eastAsia="方正楷体_GBK" w:cs="方正楷体_GBK"/>
                <w:color w:val="auto"/>
                <w:kern w:val="2"/>
                <w:sz w:val="24"/>
                <w:szCs w:val="24"/>
                <w:highlight w:val="none"/>
                <w:lang w:eastAsia="zh-CN"/>
              </w:rPr>
              <w:t>伐除</w:t>
            </w:r>
            <w:r>
              <w:rPr>
                <w:rFonts w:hint="eastAsia" w:ascii="宋体" w:hAnsi="宋体" w:eastAsia="方正楷体_GBK" w:cs="方正楷体_GBK"/>
                <w:color w:val="auto"/>
                <w:kern w:val="2"/>
                <w:sz w:val="24"/>
                <w:szCs w:val="24"/>
                <w:highlight w:val="none"/>
                <w:lang w:val="en-US" w:eastAsia="zh-CN"/>
              </w:rPr>
              <w:t>老龄竹、</w:t>
            </w:r>
            <w:r>
              <w:rPr>
                <w:rFonts w:hint="eastAsia" w:ascii="宋体" w:hAnsi="宋体" w:eastAsia="方正楷体_GBK" w:cs="方正楷体_GBK"/>
                <w:color w:val="auto"/>
                <w:kern w:val="2"/>
                <w:sz w:val="24"/>
                <w:szCs w:val="24"/>
                <w:highlight w:val="none"/>
                <w:lang w:eastAsia="zh-CN"/>
              </w:rPr>
              <w:t>低质</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、枯死</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、濒死</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w:t>
            </w:r>
            <w:r>
              <w:rPr>
                <w:rFonts w:hint="eastAsia" w:ascii="宋体" w:hAnsi="宋体" w:eastAsia="方正楷体_GBK" w:cs="方正楷体_GBK"/>
                <w:color w:val="auto"/>
                <w:kern w:val="2"/>
                <w:sz w:val="24"/>
                <w:szCs w:val="24"/>
                <w:highlight w:val="none"/>
                <w:lang w:val="en-US" w:eastAsia="zh-CN"/>
              </w:rPr>
              <w:t>受</w:t>
            </w:r>
            <w:r>
              <w:rPr>
                <w:rFonts w:hint="eastAsia" w:ascii="宋体" w:hAnsi="宋体" w:eastAsia="方正楷体_GBK" w:cs="方正楷体_GBK"/>
                <w:color w:val="auto"/>
                <w:kern w:val="2"/>
                <w:sz w:val="24"/>
                <w:szCs w:val="24"/>
                <w:highlight w:val="none"/>
                <w:lang w:eastAsia="zh-CN"/>
              </w:rPr>
              <w:t>害</w:t>
            </w:r>
            <w:r>
              <w:rPr>
                <w:rFonts w:hint="eastAsia" w:ascii="宋体" w:hAnsi="宋体" w:eastAsia="方正楷体_GBK" w:cs="方正楷体_GBK"/>
                <w:color w:val="auto"/>
                <w:kern w:val="2"/>
                <w:sz w:val="24"/>
                <w:szCs w:val="24"/>
                <w:highlight w:val="none"/>
                <w:lang w:val="en-US" w:eastAsia="zh-CN"/>
              </w:rPr>
              <w:t>竹</w:t>
            </w:r>
            <w:r>
              <w:rPr>
                <w:rFonts w:hint="eastAsia" w:ascii="宋体" w:hAnsi="宋体" w:eastAsia="方正楷体_GBK" w:cs="方正楷体_GBK"/>
                <w:color w:val="auto"/>
                <w:kern w:val="2"/>
                <w:sz w:val="24"/>
                <w:szCs w:val="24"/>
                <w:highlight w:val="none"/>
                <w:lang w:eastAsia="zh-CN"/>
              </w:rPr>
              <w:t>，</w:t>
            </w:r>
            <w:r>
              <w:rPr>
                <w:rFonts w:hint="eastAsia" w:ascii="宋体" w:hAnsi="宋体" w:eastAsia="方正楷体_GBK" w:cs="方正楷体_GBK"/>
                <w:color w:val="auto"/>
                <w:kern w:val="2"/>
                <w:sz w:val="24"/>
                <w:szCs w:val="24"/>
                <w:highlight w:val="none"/>
                <w:lang w:val="en-US" w:eastAsia="zh-CN"/>
              </w:rPr>
              <w:t>增加发笋率，</w:t>
            </w:r>
            <w:r>
              <w:rPr>
                <w:rFonts w:hint="eastAsia" w:ascii="宋体" w:hAnsi="宋体" w:eastAsia="方正楷体_GBK" w:cs="方正楷体_GBK"/>
                <w:color w:val="auto"/>
                <w:kern w:val="2"/>
                <w:sz w:val="24"/>
                <w:szCs w:val="24"/>
                <w:highlight w:val="none"/>
                <w:lang w:eastAsia="zh-CN"/>
              </w:rPr>
              <w:t>并视情况补植补播地带性</w:t>
            </w:r>
            <w:r>
              <w:rPr>
                <w:rFonts w:hint="eastAsia" w:ascii="宋体" w:hAnsi="宋体" w:eastAsia="方正楷体_GBK" w:cs="方正楷体_GBK"/>
                <w:color w:val="auto"/>
                <w:kern w:val="2"/>
                <w:sz w:val="24"/>
                <w:szCs w:val="24"/>
                <w:highlight w:val="none"/>
                <w:lang w:val="en-US" w:eastAsia="zh-CN"/>
              </w:rPr>
              <w:t>阔叶</w:t>
            </w:r>
            <w:r>
              <w:rPr>
                <w:rFonts w:hint="eastAsia" w:ascii="宋体" w:hAnsi="宋体" w:eastAsia="方正楷体_GBK" w:cs="方正楷体_GBK"/>
                <w:color w:val="auto"/>
                <w:kern w:val="2"/>
                <w:sz w:val="24"/>
                <w:szCs w:val="24"/>
                <w:highlight w:val="none"/>
                <w:lang w:eastAsia="zh-CN"/>
              </w:rPr>
              <w:t>树种，</w:t>
            </w:r>
            <w:r>
              <w:rPr>
                <w:rFonts w:hint="eastAsia" w:ascii="宋体" w:hAnsi="宋体" w:eastAsia="方正楷体_GBK" w:cs="方正楷体_GBK"/>
                <w:color w:val="auto"/>
                <w:kern w:val="2"/>
                <w:sz w:val="24"/>
                <w:szCs w:val="24"/>
                <w:highlight w:val="none"/>
                <w:lang w:val="en-US" w:eastAsia="zh-CN"/>
              </w:rPr>
              <w:t>增强森林多功能发挥。</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9.萌生栎类林质量提升</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default" w:ascii="宋体" w:hAnsi="宋体" w:eastAsia="方正楷体_GBK" w:cs="方正楷体_GBK"/>
                <w:color w:val="auto"/>
                <w:kern w:val="2"/>
                <w:sz w:val="24"/>
                <w:szCs w:val="24"/>
                <w:highlight w:val="none"/>
                <w:lang w:val="en-US" w:eastAsia="zh-CN"/>
              </w:rPr>
            </w:pPr>
            <w:r>
              <w:rPr>
                <w:rFonts w:hint="eastAsia" w:ascii="宋体" w:hAnsi="宋体" w:eastAsia="方正楷体_GBK" w:cs="方正楷体_GBK"/>
                <w:color w:val="auto"/>
                <w:kern w:val="2"/>
                <w:sz w:val="24"/>
                <w:szCs w:val="24"/>
                <w:highlight w:val="none"/>
                <w:lang w:val="en-US" w:eastAsia="zh-CN"/>
              </w:rPr>
              <w:t>布设在滇东滇东南石漠化修复区，修复对象为乔木层萌生起源的林木株数占比&gt;80％，且缺乏高质量实生林木个体的乔木林，修复模式设计为改造修复。通过定株抚育，提升森林质量。</w:t>
            </w:r>
          </w:p>
          <w:p>
            <w:pPr>
              <w:pStyle w:val="2"/>
              <w:autoSpaceDE/>
              <w:autoSpaceDN/>
              <w:spacing w:line="400" w:lineRule="exact"/>
              <w:ind w:firstLine="457" w:firstLineChars="200"/>
              <w:rPr>
                <w:rFonts w:hint="eastAsia" w:ascii="宋体" w:hAnsi="宋体" w:eastAsia="方正楷体_GBK" w:cs="方正楷体_GBK"/>
                <w:b/>
                <w:bCs/>
                <w:snapToGrid/>
                <w:color w:val="auto"/>
                <w:spacing w:val="-6"/>
                <w:kern w:val="2"/>
                <w:sz w:val="24"/>
                <w:szCs w:val="24"/>
                <w:highlight w:val="none"/>
                <w:lang w:val="en-US" w:eastAsia="zh-CN"/>
              </w:rPr>
            </w:pPr>
            <w:r>
              <w:rPr>
                <w:rFonts w:hint="eastAsia" w:ascii="宋体" w:hAnsi="宋体" w:eastAsia="方正楷体_GBK" w:cs="方正楷体_GBK"/>
                <w:b/>
                <w:bCs/>
                <w:snapToGrid/>
                <w:color w:val="auto"/>
                <w:spacing w:val="-6"/>
                <w:kern w:val="2"/>
                <w:sz w:val="24"/>
                <w:szCs w:val="24"/>
                <w:highlight w:val="none"/>
                <w:lang w:val="en-US" w:eastAsia="zh-CN"/>
              </w:rPr>
              <w:t>10.系统重建</w:t>
            </w:r>
          </w:p>
          <w:p>
            <w:pPr>
              <w:pStyle w:val="2"/>
              <w:keepNext w:val="0"/>
              <w:keepLines w:val="0"/>
              <w:pageBreakBefore w:val="0"/>
              <w:widowControl/>
              <w:wordWrap/>
              <w:overflowPunct/>
              <w:topLinePunct w:val="0"/>
              <w:autoSpaceDE/>
              <w:autoSpaceDN/>
              <w:bidi w:val="0"/>
              <w:spacing w:line="400" w:lineRule="exact"/>
              <w:ind w:firstLine="480" w:firstLineChars="200"/>
              <w:jc w:val="both"/>
              <w:rPr>
                <w:rFonts w:hint="eastAsia" w:ascii="方正楷体_GBK" w:hAnsi="方正楷体_GBK" w:eastAsia="方正楷体_GBK" w:cs="方正楷体_GBK"/>
                <w:color w:val="auto"/>
                <w:sz w:val="24"/>
                <w:szCs w:val="24"/>
                <w:highlight w:val="none"/>
                <w:lang w:eastAsia="zh-CN"/>
              </w:rPr>
            </w:pPr>
            <w:r>
              <w:rPr>
                <w:rFonts w:hint="eastAsia" w:ascii="宋体" w:hAnsi="宋体" w:eastAsia="方正楷体_GBK" w:cs="方正楷体_GBK"/>
                <w:color w:val="auto"/>
                <w:kern w:val="2"/>
                <w:sz w:val="24"/>
                <w:szCs w:val="24"/>
                <w:highlight w:val="none"/>
                <w:lang w:val="en-US" w:eastAsia="zh-CN"/>
              </w:rPr>
              <w:t>布设在滇东滇东南石漠化修复区，修复对象为生态条件适宜，不具备天然更新能力的一般灌木林、疏林、迹地，修复模式设计为系统重建。</w:t>
            </w:r>
            <w:r>
              <w:rPr>
                <w:rFonts w:hint="eastAsia" w:ascii="宋体" w:hAnsi="宋体" w:eastAsia="方正楷体_GBK" w:cs="方正楷体_GBK"/>
                <w:color w:val="auto"/>
                <w:kern w:val="2"/>
                <w:sz w:val="24"/>
                <w:szCs w:val="24"/>
                <w:highlight w:val="none"/>
                <w:lang w:eastAsia="zh-CN"/>
              </w:rPr>
              <w:t>采用地带性树种开展近自然造林，快速营建森林环境，为正向演替奠定基础。</w:t>
            </w:r>
          </w:p>
        </w:tc>
      </w:t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tbl>
    <w:p>
      <w:pPr>
        <w:pStyle w:val="4"/>
        <w:keepNext/>
        <w:keepLines/>
        <w:pageBreakBefore w:val="0"/>
        <w:widowControl/>
        <w:numPr>
          <w:ilvl w:val="0"/>
          <w:numId w:val="0"/>
        </w:numPr>
        <w:kinsoku/>
        <w:wordWrap/>
        <w:overflowPunct/>
        <w:topLinePunct w:val="0"/>
        <w:autoSpaceDE/>
        <w:autoSpaceDN/>
        <w:bidi w:val="0"/>
        <w:adjustRightInd/>
        <w:snapToGrid/>
        <w:spacing w:before="157" w:beforeLines="50" w:beforeAutospacing="0" w:after="157" w:afterLines="50" w:line="578" w:lineRule="exact"/>
        <w:ind w:firstLine="616" w:firstLineChars="200"/>
        <w:jc w:val="left"/>
        <w:textAlignment w:val="auto"/>
        <w:rPr>
          <w:rFonts w:hint="eastAsia" w:ascii="宋体" w:hAnsi="宋体" w:eastAsia="方正黑体_GBK" w:cs="方正黑体_GBK"/>
          <w:b w:val="0"/>
          <w:snapToGrid/>
          <w:color w:val="auto"/>
          <w:spacing w:val="-6"/>
          <w:sz w:val="32"/>
          <w:szCs w:val="32"/>
          <w:highlight w:val="none"/>
          <w:lang w:eastAsia="zh-CN" w:bidi="ar"/>
        </w:rPr>
      </w:pPr>
      <w:bookmarkStart w:id="190" w:name="_Toc10134"/>
      <w:bookmarkStart w:id="191" w:name="_Toc4110"/>
      <w:bookmarkStart w:id="192" w:name="_Toc7364"/>
      <w:bookmarkStart w:id="193" w:name="_Toc3569"/>
      <w:bookmarkStart w:id="194" w:name="_Toc4736"/>
      <w:bookmarkStart w:id="195" w:name="_Toc17779"/>
      <w:bookmarkStart w:id="196" w:name="_Toc2436"/>
      <w:bookmarkStart w:id="197" w:name="_Toc190269660"/>
      <w:r>
        <w:rPr>
          <w:rFonts w:hint="eastAsia" w:ascii="宋体" w:hAnsi="宋体" w:eastAsia="方正黑体_GBK" w:cs="方正黑体_GBK"/>
          <w:b w:val="0"/>
          <w:snapToGrid/>
          <w:color w:val="auto"/>
          <w:spacing w:val="-6"/>
          <w:sz w:val="32"/>
          <w:szCs w:val="32"/>
          <w:highlight w:val="none"/>
          <w:lang w:val="en-US" w:eastAsia="zh-CN" w:bidi="ar"/>
        </w:rPr>
        <w:t>四、</w:t>
      </w:r>
      <w:r>
        <w:rPr>
          <w:rFonts w:hint="eastAsia" w:ascii="宋体" w:hAnsi="宋体" w:eastAsia="方正黑体_GBK" w:cs="方正黑体_GBK"/>
          <w:b w:val="0"/>
          <w:snapToGrid/>
          <w:color w:val="auto"/>
          <w:spacing w:val="-6"/>
          <w:sz w:val="32"/>
          <w:szCs w:val="32"/>
          <w:highlight w:val="none"/>
          <w:lang w:eastAsia="zh-CN" w:bidi="ar"/>
        </w:rPr>
        <w:t>转型发展</w:t>
      </w:r>
      <w:bookmarkEnd w:id="190"/>
      <w:bookmarkEnd w:id="191"/>
      <w:bookmarkEnd w:id="192"/>
      <w:bookmarkEnd w:id="193"/>
      <w:bookmarkEnd w:id="194"/>
      <w:bookmarkEnd w:id="195"/>
      <w:bookmarkEnd w:id="196"/>
    </w:p>
    <w:p>
      <w:pPr>
        <w:keepNext w:val="0"/>
        <w:keepLines w:val="0"/>
        <w:pageBreakBefore w:val="0"/>
        <w:widowControl/>
        <w:kinsoku/>
        <w:wordWrap/>
        <w:overflowPunct/>
        <w:topLinePunct w:val="0"/>
        <w:autoSpaceDE/>
        <w:autoSpaceDN/>
        <w:bidi w:val="0"/>
        <w:adjustRightInd/>
        <w:snapToGrid/>
        <w:spacing w:line="578" w:lineRule="exact"/>
        <w:ind w:firstLine="616" w:firstLineChars="200"/>
        <w:jc w:val="both"/>
        <w:textAlignment w:val="auto"/>
        <w:outlineLvl w:val="1"/>
        <w:rPr>
          <w:rFonts w:hint="eastAsia" w:ascii="宋体" w:hAnsi="宋体" w:eastAsia="方正楷体_GBK" w:cs="方正楷体_GBK"/>
          <w:snapToGrid/>
          <w:color w:val="auto"/>
          <w:spacing w:val="-6"/>
          <w:kern w:val="2"/>
          <w:highlight w:val="none"/>
          <w:lang w:val="en-US" w:eastAsia="zh-CN"/>
        </w:rPr>
      </w:pPr>
      <w:bookmarkStart w:id="198" w:name="_Toc28645"/>
      <w:bookmarkStart w:id="199" w:name="_Toc32026"/>
      <w:r>
        <w:rPr>
          <w:rFonts w:hint="eastAsia" w:ascii="宋体" w:hAnsi="宋体" w:eastAsia="方正楷体_GBK" w:cs="方正楷体_GBK"/>
          <w:b w:val="0"/>
          <w:snapToGrid/>
          <w:color w:val="auto"/>
          <w:spacing w:val="-6"/>
          <w:kern w:val="2"/>
          <w:highlight w:val="none"/>
          <w:lang w:eastAsia="zh-CN" w:bidi="ar"/>
        </w:rPr>
        <w:t>（</w:t>
      </w:r>
      <w:r>
        <w:rPr>
          <w:rFonts w:hint="eastAsia" w:ascii="宋体" w:hAnsi="宋体" w:eastAsia="方正楷体_GBK" w:cs="方正楷体_GBK"/>
          <w:b w:val="0"/>
          <w:snapToGrid/>
          <w:color w:val="auto"/>
          <w:spacing w:val="-6"/>
          <w:kern w:val="2"/>
          <w:highlight w:val="none"/>
          <w:lang w:val="en-US" w:eastAsia="zh-CN" w:bidi="ar"/>
        </w:rPr>
        <w:t>十一</w:t>
      </w:r>
      <w:r>
        <w:rPr>
          <w:rFonts w:hint="eastAsia" w:ascii="宋体" w:hAnsi="宋体" w:eastAsia="方正楷体_GBK" w:cs="方正楷体_GBK"/>
          <w:b w:val="0"/>
          <w:snapToGrid/>
          <w:color w:val="auto"/>
          <w:spacing w:val="-6"/>
          <w:kern w:val="2"/>
          <w:highlight w:val="none"/>
          <w:lang w:eastAsia="zh-CN" w:bidi="ar"/>
        </w:rPr>
        <w:t>）</w:t>
      </w:r>
      <w:r>
        <w:rPr>
          <w:rFonts w:hint="eastAsia" w:ascii="宋体" w:hAnsi="宋体" w:eastAsia="方正楷体_GBK" w:cs="方正楷体_GBK"/>
          <w:snapToGrid/>
          <w:color w:val="auto"/>
          <w:spacing w:val="-6"/>
          <w:kern w:val="2"/>
          <w:sz w:val="32"/>
          <w:szCs w:val="32"/>
          <w:highlight w:val="none"/>
          <w:lang w:val="en-US" w:eastAsia="zh-CN"/>
        </w:rPr>
        <w:t>优化机制</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default"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延续原天保工程保障政策，兜牢民生底线，合理保障森工企业职工待遇，健全内部管理和绩效考核机制，推动形成“人人干事、多劳多得、优绩优酬”的激励导向，激发干事创业热情。结合天然林分布状况、自然地理条件、交通状况以及森工企业布局和人员实际，合理调整管护责任范围，科学配置管护任务与人员力量，确保人岗相适、权责明晰。推进有经营条件的森工企业转型发展，转换经营机制，提高市场竞争能力。压实地方政府属地管理责任，各级按照财政事权与支出责任划分原则，落实好支出责任。鼓励各地探索多样化的管护机制。</w:t>
      </w:r>
    </w:p>
    <w:p>
      <w:pPr>
        <w:keepNext w:val="0"/>
        <w:keepLines w:val="0"/>
        <w:pageBreakBefore w:val="0"/>
        <w:widowControl/>
        <w:kinsoku/>
        <w:wordWrap/>
        <w:overflowPunct/>
        <w:topLinePunct w:val="0"/>
        <w:autoSpaceDE/>
        <w:autoSpaceDN/>
        <w:bidi w:val="0"/>
        <w:adjustRightInd/>
        <w:snapToGrid/>
        <w:spacing w:line="578" w:lineRule="exact"/>
        <w:ind w:firstLine="616" w:firstLineChars="200"/>
        <w:jc w:val="both"/>
        <w:textAlignment w:val="auto"/>
        <w:outlineLvl w:val="1"/>
        <w:rPr>
          <w:rFonts w:hint="eastAsia" w:ascii="宋体" w:hAnsi="宋体" w:eastAsia="方正楷体_GBK" w:cs="方正楷体_GBK"/>
          <w:snapToGrid/>
          <w:color w:val="auto"/>
          <w:spacing w:val="-6"/>
          <w:kern w:val="2"/>
          <w:highlight w:val="none"/>
          <w:lang w:eastAsia="zh-CN" w:bidi="ar"/>
        </w:rPr>
      </w:pPr>
      <w:r>
        <w:rPr>
          <w:rFonts w:hint="eastAsia" w:ascii="宋体" w:hAnsi="宋体" w:eastAsia="方正楷体_GBK" w:cs="方正楷体_GBK"/>
          <w:snapToGrid/>
          <w:color w:val="auto"/>
          <w:spacing w:val="-6"/>
          <w:kern w:val="2"/>
          <w:highlight w:val="none"/>
          <w:lang w:val="en-US" w:eastAsia="zh-CN" w:bidi="ar"/>
        </w:rPr>
        <w:t>（十二）落实</w:t>
      </w:r>
      <w:r>
        <w:rPr>
          <w:rFonts w:hint="eastAsia" w:ascii="宋体" w:hAnsi="宋体" w:eastAsia="方正楷体_GBK" w:cs="方正楷体_GBK"/>
          <w:snapToGrid/>
          <w:color w:val="auto"/>
          <w:spacing w:val="-6"/>
          <w:kern w:val="2"/>
          <w:highlight w:val="none"/>
          <w:lang w:eastAsia="zh-CN" w:bidi="ar"/>
        </w:rPr>
        <w:t>补偿</w:t>
      </w:r>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val="en-US" w:eastAsia="zh-CN"/>
        </w:rPr>
      </w:pPr>
      <w:bookmarkStart w:id="200" w:name="_Toc15454"/>
      <w:r>
        <w:rPr>
          <w:rFonts w:hint="eastAsia" w:ascii="宋体" w:hAnsi="宋体" w:eastAsia="方正仿宋_GBK" w:cs="方正仿宋_GBK"/>
          <w:color w:val="auto"/>
          <w:sz w:val="32"/>
          <w:szCs w:val="32"/>
          <w:lang w:val="en-US" w:eastAsia="zh-CN"/>
        </w:rPr>
        <w:t>严格执行非国有公益林和已落实管护责任的天然商品林补偿政策，全面落实公益林森林生态效益补偿和天然商品林停伐奖励，确保林权权利人生态保护收益合理兑现。依托惠民惠农“一卡通”平台规范发放补偿资金，建立到户明细，跟踪督促发放进度，畅通林权权利人查询渠道，确保补偿资金足额发放。加强补偿资金兑现绩效评价，严禁截留、挪用，切实维护林权权利人合法权益。</w:t>
      </w:r>
      <w:bookmarkEnd w:id="198"/>
      <w:bookmarkEnd w:id="199"/>
      <w:bookmarkStart w:id="201" w:name="_Toc21298"/>
      <w:bookmarkStart w:id="202" w:name="_Toc23233"/>
      <w:bookmarkStart w:id="203" w:name="_Toc5222"/>
      <w:bookmarkStart w:id="204" w:name="_Toc27038"/>
      <w:bookmarkStart w:id="205" w:name="_Toc19261"/>
    </w:p>
    <w:p>
      <w:pPr>
        <w:keepNext w:val="0"/>
        <w:keepLines w:val="0"/>
        <w:pageBreakBefore w:val="0"/>
        <w:widowControl/>
        <w:wordWrap/>
        <w:overflowPunct/>
        <w:topLinePunct w:val="0"/>
        <w:bidi w:val="0"/>
        <w:spacing w:line="578" w:lineRule="exact"/>
        <w:ind w:firstLine="616" w:firstLineChars="200"/>
        <w:jc w:val="both"/>
        <w:outlineLvl w:val="1"/>
        <w:rPr>
          <w:rFonts w:hint="eastAsia" w:ascii="宋体" w:hAnsi="宋体" w:eastAsia="方正楷体_GBK" w:cs="方正楷体_GBK"/>
          <w:b w:val="0"/>
          <w:snapToGrid/>
          <w:color w:val="auto"/>
          <w:spacing w:val="-6"/>
          <w:kern w:val="2"/>
          <w:highlight w:val="none"/>
          <w:lang w:eastAsia="zh-CN" w:bidi="ar"/>
        </w:rPr>
      </w:pPr>
      <w:r>
        <w:rPr>
          <w:rFonts w:hint="eastAsia" w:ascii="宋体" w:hAnsi="宋体" w:eastAsia="方正楷体_GBK" w:cs="方正楷体_GBK"/>
          <w:b w:val="0"/>
          <w:snapToGrid/>
          <w:color w:val="auto"/>
          <w:spacing w:val="-6"/>
          <w:kern w:val="2"/>
          <w:sz w:val="32"/>
          <w:szCs w:val="32"/>
          <w:highlight w:val="none"/>
          <w:lang w:val="en-US" w:eastAsia="zh-CN" w:bidi="ar"/>
        </w:rPr>
        <w:t>（十三）促进</w:t>
      </w:r>
      <w:r>
        <w:rPr>
          <w:rFonts w:hint="eastAsia" w:ascii="宋体" w:hAnsi="宋体" w:eastAsia="方正楷体_GBK" w:cs="方正楷体_GBK"/>
          <w:b w:val="0"/>
          <w:snapToGrid/>
          <w:color w:val="auto"/>
          <w:spacing w:val="-6"/>
          <w:kern w:val="2"/>
          <w:highlight w:val="none"/>
          <w:lang w:eastAsia="zh-CN" w:bidi="ar"/>
        </w:rPr>
        <w:t>发展</w:t>
      </w:r>
      <w:bookmarkEnd w:id="200"/>
      <w:bookmarkEnd w:id="201"/>
      <w:bookmarkEnd w:id="202"/>
      <w:bookmarkEnd w:id="203"/>
      <w:bookmarkEnd w:id="204"/>
      <w:bookmarkEnd w:id="205"/>
    </w:p>
    <w:p>
      <w:pPr>
        <w:pStyle w:val="2"/>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立足全省资源禀赋，坚持生态优先，在符合法律法规、政策和水土保持等生态要求，以及不影响生态功能的前提下，统筹考虑林草产业要素和布局，在分类管控基础上，因地制宜，转变思路，改革创新，多措并举，科学利用林地林木、林下资源、林间空地及林缘地，依法依规适度发展林草产业，开展林下种植、林下养殖、林下产品采集、生态旅游、森林康养、自然教育、森林碳汇等产业发展项目。持续优化林草产业结构，推动林区经济发展由以传统单一木材生产为主，向森林资源多维度、可持续综合开发利用转型，大力发展绿色低碳富民产业，全面实现林区经济绿色转型与高质量发展。</w:t>
      </w:r>
    </w:p>
    <w:p>
      <w:pPr>
        <w:pStyle w:val="3"/>
        <w:rPr>
          <w:rFonts w:hint="eastAsia" w:ascii="宋体" w:hAnsi="宋体" w:eastAsia="方正仿宋_GBK" w:cs="方正仿宋_GBK"/>
          <w:color w:val="auto"/>
          <w:sz w:val="32"/>
          <w:szCs w:val="32"/>
          <w:lang w:val="en-US" w:eastAsia="zh-CN"/>
        </w:rPr>
      </w:pPr>
    </w:p>
    <w:p>
      <w:pPr>
        <w:rPr>
          <w:rFonts w:hint="eastAsia" w:ascii="宋体" w:hAnsi="宋体" w:eastAsia="方正仿宋_GBK" w:cs="方正仿宋_GBK"/>
          <w:color w:val="auto"/>
          <w:sz w:val="32"/>
          <w:szCs w:val="32"/>
          <w:lang w:val="en-US" w:eastAsia="zh-CN"/>
        </w:rPr>
      </w:pPr>
    </w:p>
    <w:p>
      <w:pPr>
        <w:pStyle w:val="2"/>
        <w:rPr>
          <w:rFonts w:hint="eastAsia"/>
          <w:lang w:val="en-US" w:eastAsia="zh-CN"/>
        </w:rPr>
      </w:pPr>
    </w:p>
    <w:p>
      <w:pPr>
        <w:pStyle w:val="3"/>
        <w:rPr>
          <w:rFonts w:hint="eastAsia" w:ascii="宋体" w:hAnsi="宋体"/>
          <w:color w:val="auto"/>
          <w:lang w:val="en-US" w:eastAsia="zh-CN"/>
        </w:rPr>
      </w:pPr>
    </w:p>
    <w:tbl>
      <w:tblPr>
        <w:tblStyle w:val="24"/>
        <w:tblW w:w="8856" w:type="dxa"/>
        <w:jc w:val="center"/>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Layout w:type="autofit"/>
        <w:tblCellMar>
          <w:top w:w="0" w:type="dxa"/>
          <w:left w:w="0" w:type="dxa"/>
          <w:bottom w:w="0" w:type="dxa"/>
          <w:right w:w="0" w:type="dxa"/>
        </w:tblCellMar>
      </w:tblPr>
      <w:tblGrid>
        <w:gridCol w:w="8856"/>
      </w:tblGrid>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tblHeader/>
          <w:jc w:val="center"/>
        </w:trPr>
        <w:tc>
          <w:tcPr>
            <w:tcW w:w="8856" w:type="dxa"/>
            <w:tcBorders>
              <w:tl2br w:val="nil"/>
              <w:tr2bl w:val="nil"/>
            </w:tcBorders>
            <w:vAlign w:val="center"/>
          </w:tcPr>
          <w:p>
            <w:pPr>
              <w:kinsoku/>
              <w:autoSpaceDE/>
              <w:autoSpaceDN/>
              <w:adjustRightInd/>
              <w:snapToGrid w:val="0"/>
              <w:spacing w:line="400" w:lineRule="exact"/>
              <w:ind w:firstLine="562" w:firstLineChars="200"/>
              <w:jc w:val="center"/>
              <w:textAlignment w:val="center"/>
              <w:rPr>
                <w:rFonts w:hint="eastAsia" w:ascii="方正楷体_GBK" w:hAnsi="方正楷体_GBK" w:eastAsia="方正楷体_GBK" w:cs="方正楷体_GBK"/>
                <w:color w:val="auto"/>
                <w:sz w:val="28"/>
                <w:szCs w:val="28"/>
                <w:highlight w:val="none"/>
                <w:lang w:eastAsia="zh-CN"/>
              </w:rPr>
            </w:pPr>
            <w:r>
              <w:rPr>
                <w:rFonts w:hint="eastAsia" w:ascii="宋体" w:hAnsi="宋体" w:eastAsia="方正楷体_GBK" w:cs="方正楷体_GBK"/>
                <w:b/>
                <w:bCs/>
                <w:snapToGrid/>
                <w:color w:val="auto"/>
                <w:kern w:val="2"/>
                <w:sz w:val="28"/>
                <w:szCs w:val="28"/>
                <w:highlight w:val="none"/>
                <w:lang w:eastAsia="zh-CN"/>
              </w:rPr>
              <w:t>专栏</w:t>
            </w:r>
            <w:r>
              <w:rPr>
                <w:rFonts w:hint="eastAsia" w:ascii="宋体" w:hAnsi="宋体" w:eastAsia="方正楷体_GBK" w:cs="方正楷体_GBK"/>
                <w:b/>
                <w:bCs/>
                <w:snapToGrid/>
                <w:color w:val="auto"/>
                <w:kern w:val="2"/>
                <w:sz w:val="28"/>
                <w:szCs w:val="28"/>
                <w:highlight w:val="none"/>
                <w:lang w:val="en-US" w:eastAsia="zh-CN"/>
              </w:rPr>
              <w:t>4</w:t>
            </w:r>
            <w:r>
              <w:rPr>
                <w:rFonts w:hint="eastAsia" w:ascii="宋体" w:hAnsi="宋体" w:eastAsia="方正楷体_GBK" w:cs="方正楷体_GBK"/>
                <w:b/>
                <w:bCs/>
                <w:snapToGrid/>
                <w:color w:val="auto"/>
                <w:kern w:val="2"/>
                <w:sz w:val="28"/>
                <w:szCs w:val="28"/>
                <w:highlight w:val="none"/>
                <w:lang w:eastAsia="zh-CN"/>
              </w:rPr>
              <w:t>-1：转型发展</w:t>
            </w:r>
            <w:r>
              <w:rPr>
                <w:rFonts w:hint="eastAsia" w:ascii="宋体" w:hAnsi="宋体" w:eastAsia="方正楷体_GBK" w:cs="方正楷体_GBK"/>
                <w:b/>
                <w:bCs/>
                <w:snapToGrid/>
                <w:color w:val="auto"/>
                <w:kern w:val="2"/>
                <w:sz w:val="28"/>
                <w:szCs w:val="28"/>
                <w:highlight w:val="none"/>
                <w:lang w:val="en-US" w:eastAsia="zh-CN"/>
              </w:rPr>
              <w:t>主要任务</w:t>
            </w:r>
          </w:p>
        </w:tc>
      </w:tr>
      <w:tr>
        <w:tblPrEx>
          <w:tblBorders>
            <w:top w:val="single" w:color="000000" w:sz="2" w:space="0"/>
            <w:left w:val="single" w:color="000000" w:sz="2" w:space="0"/>
            <w:bottom w:val="single" w:color="000000" w:sz="2" w:space="0"/>
            <w:right w:val="single" w:color="000000" w:sz="2" w:space="0"/>
            <w:insideH w:val="single" w:color="000000" w:sz="2" w:space="0"/>
            <w:insideV w:val="none" w:color="auto" w:sz="0" w:space="0"/>
          </w:tblBorders>
          <w:tblCellMar>
            <w:top w:w="0" w:type="dxa"/>
            <w:left w:w="0" w:type="dxa"/>
            <w:bottom w:w="0" w:type="dxa"/>
            <w:right w:w="0" w:type="dxa"/>
          </w:tblCellMar>
        </w:tblPrEx>
        <w:trPr>
          <w:trHeight w:val="0" w:hRule="atLeast"/>
          <w:jc w:val="center"/>
        </w:trPr>
        <w:tc>
          <w:tcPr>
            <w:tcW w:w="8856" w:type="dxa"/>
            <w:tcBorders>
              <w:tl2br w:val="nil"/>
              <w:tr2bl w:val="nil"/>
            </w:tcBorders>
            <w:vAlign w:val="center"/>
          </w:tcPr>
          <w:p>
            <w:pPr>
              <w:keepNext w:val="0"/>
              <w:keepLines w:val="0"/>
              <w:pageBreakBefore w:val="0"/>
              <w:widowControl/>
              <w:kinsoku w:val="0"/>
              <w:wordWrap/>
              <w:overflowPunct/>
              <w:topLinePunct w:val="0"/>
              <w:autoSpaceDE/>
              <w:autoSpaceDN/>
              <w:bidi w:val="0"/>
              <w:adjustRightInd w:val="0"/>
              <w:snapToGrid w:val="0"/>
              <w:spacing w:line="400" w:lineRule="exact"/>
              <w:ind w:firstLine="481" w:firstLineChars="200"/>
              <w:jc w:val="both"/>
              <w:textAlignment w:val="baseline"/>
              <w:outlineLvl w:val="9"/>
              <w:rPr>
                <w:rFonts w:hint="eastAsia" w:ascii="宋体" w:hAnsi="宋体" w:eastAsia="方正楷体_GBK" w:cs="方正楷体_GBK"/>
                <w:b/>
                <w:bCs/>
                <w:snapToGrid w:val="0"/>
                <w:color w:val="auto"/>
                <w:spacing w:val="0"/>
                <w:kern w:val="0"/>
                <w:sz w:val="24"/>
                <w:szCs w:val="24"/>
                <w:highlight w:val="none"/>
                <w:lang w:val="en-US" w:eastAsia="zh-CN" w:bidi="ar-SA"/>
              </w:rPr>
            </w:pPr>
            <w:r>
              <w:rPr>
                <w:rFonts w:hint="eastAsia" w:ascii="宋体" w:hAnsi="宋体" w:eastAsia="方正楷体_GBK" w:cs="方正楷体_GBK"/>
                <w:b/>
                <w:bCs/>
                <w:snapToGrid w:val="0"/>
                <w:color w:val="auto"/>
                <w:spacing w:val="0"/>
                <w:kern w:val="0"/>
                <w:sz w:val="24"/>
                <w:szCs w:val="24"/>
                <w:highlight w:val="none"/>
                <w:lang w:val="en-US" w:eastAsia="zh-CN" w:bidi="ar-SA"/>
              </w:rPr>
              <w:t>1.发展林下经济</w:t>
            </w:r>
          </w:p>
          <w:p>
            <w:pPr>
              <w:keepNext w:val="0"/>
              <w:keepLines w:val="0"/>
              <w:pageBreakBefore w:val="0"/>
              <w:widowControl/>
              <w:kinsoku w:val="0"/>
              <w:wordWrap/>
              <w:overflowPunct/>
              <w:topLinePunct w:val="0"/>
              <w:autoSpaceDE/>
              <w:autoSpaceDN/>
              <w:bidi w:val="0"/>
              <w:adjustRightInd w:val="0"/>
              <w:snapToGrid w:val="0"/>
              <w:spacing w:line="400" w:lineRule="exact"/>
              <w:ind w:firstLine="480" w:firstLineChars="200"/>
              <w:jc w:val="both"/>
              <w:textAlignment w:val="baseline"/>
              <w:outlineLvl w:val="9"/>
              <w:rPr>
                <w:rFonts w:hint="eastAsia" w:ascii="宋体" w:hAnsi="宋体" w:eastAsia="方正楷体_GBK" w:cs="方正楷体_GBK"/>
                <w:snapToGrid w:val="0"/>
                <w:color w:val="auto"/>
                <w:sz w:val="24"/>
                <w:szCs w:val="24"/>
                <w:highlight w:val="none"/>
                <w:lang w:val="en-US" w:eastAsia="zh-CN" w:bidi="ar-SA"/>
              </w:rPr>
            </w:pPr>
            <w:r>
              <w:rPr>
                <w:rFonts w:hint="eastAsia" w:ascii="宋体" w:hAnsi="宋体" w:eastAsia="方正楷体_GBK" w:cs="方正楷体_GBK"/>
                <w:b w:val="0"/>
                <w:bCs w:val="0"/>
                <w:color w:val="auto"/>
                <w:spacing w:val="0"/>
                <w:sz w:val="24"/>
                <w:szCs w:val="24"/>
                <w:highlight w:val="none"/>
                <w:lang w:val="en-US" w:eastAsia="zh-CN"/>
              </w:rPr>
              <w:t>（1）</w:t>
            </w:r>
            <w:r>
              <w:rPr>
                <w:rFonts w:hint="eastAsia" w:ascii="宋体" w:hAnsi="宋体" w:eastAsia="方正楷体_GBK" w:cs="方正楷体_GBK"/>
                <w:snapToGrid w:val="0"/>
                <w:color w:val="auto"/>
                <w:sz w:val="24"/>
                <w:szCs w:val="24"/>
                <w:highlight w:val="none"/>
                <w:lang w:val="en-US" w:eastAsia="zh-CN" w:bidi="ar-SA"/>
              </w:rPr>
              <w:t>重点发展：</w:t>
            </w:r>
            <w:r>
              <w:rPr>
                <w:rFonts w:hint="eastAsia" w:eastAsia="方正楷体_GBK" w:cs="方正楷体_GBK"/>
                <w:color w:val="auto"/>
                <w:sz w:val="24"/>
                <w:szCs w:val="24"/>
                <w:highlight w:val="none"/>
                <w:lang w:eastAsia="zh-CN"/>
              </w:rPr>
              <w:t>科学布局林药、林菌、林菜、林茶、林果、林咖、牧草等林下种植</w:t>
            </w:r>
            <w:r>
              <w:rPr>
                <w:rFonts w:hint="eastAsia" w:ascii="宋体" w:hAnsi="宋体" w:eastAsia="方正楷体_GBK" w:cs="方正楷体_GBK"/>
                <w:snapToGrid w:val="0"/>
                <w:color w:val="auto"/>
                <w:sz w:val="24"/>
                <w:szCs w:val="24"/>
                <w:highlight w:val="none"/>
                <w:lang w:val="en-US" w:eastAsia="zh-CN" w:bidi="ar-SA"/>
              </w:rPr>
              <w:t>；</w:t>
            </w:r>
            <w:r>
              <w:rPr>
                <w:rFonts w:hint="eastAsia" w:eastAsia="方正楷体_GBK" w:cs="方正楷体_GBK"/>
                <w:color w:val="auto"/>
                <w:sz w:val="24"/>
                <w:szCs w:val="24"/>
                <w:highlight w:val="none"/>
                <w:lang w:eastAsia="zh-CN"/>
              </w:rPr>
              <w:t>科学引导发展以地方优质品种为主的林禽、林畜、林蜂等养殖，支持发展林麝等特种养殖</w:t>
            </w:r>
            <w:r>
              <w:rPr>
                <w:rFonts w:hint="eastAsia" w:ascii="宋体" w:hAnsi="宋体" w:eastAsia="方正楷体_GBK" w:cs="方正楷体_GBK"/>
                <w:snapToGrid w:val="0"/>
                <w:color w:val="auto"/>
                <w:sz w:val="24"/>
                <w:szCs w:val="24"/>
                <w:highlight w:val="none"/>
                <w:lang w:val="en-US" w:eastAsia="zh-CN" w:bidi="ar-SA"/>
              </w:rPr>
              <w:t>；</w:t>
            </w:r>
            <w:r>
              <w:rPr>
                <w:rFonts w:hint="eastAsia" w:eastAsia="方正楷体_GBK" w:cs="方正楷体_GBK"/>
                <w:color w:val="auto"/>
                <w:sz w:val="24"/>
                <w:szCs w:val="24"/>
                <w:highlight w:val="none"/>
                <w:lang w:eastAsia="zh-CN"/>
              </w:rPr>
              <w:t>规范有序发展野生食用菌、竹笋、山野菜、树皮树脂等资源产品采集</w:t>
            </w:r>
            <w:r>
              <w:rPr>
                <w:rFonts w:hint="eastAsia" w:ascii="宋体" w:hAnsi="宋体" w:eastAsia="方正楷体_GBK" w:cs="方正楷体_GBK"/>
                <w:snapToGrid w:val="0"/>
                <w:color w:val="auto"/>
                <w:sz w:val="24"/>
                <w:szCs w:val="24"/>
                <w:highlight w:val="none"/>
                <w:lang w:val="en-US" w:eastAsia="zh-CN" w:bidi="ar-SA"/>
              </w:rPr>
              <w:t>；</w:t>
            </w:r>
            <w:r>
              <w:rPr>
                <w:rFonts w:hint="eastAsia" w:eastAsia="方正楷体_GBK" w:cs="方正楷体_GBK"/>
                <w:color w:val="auto"/>
                <w:sz w:val="24"/>
                <w:szCs w:val="24"/>
                <w:highlight w:val="none"/>
                <w:lang w:eastAsia="zh-CN"/>
              </w:rPr>
              <w:t>推进森林景观功能提升，拓展智慧旅游应用场景，</w:t>
            </w:r>
            <w:r>
              <w:rPr>
                <w:rFonts w:hint="eastAsia" w:eastAsia="方正楷体_GBK" w:cs="方正楷体_GBK"/>
                <w:snapToGrid w:val="0"/>
                <w:color w:val="auto"/>
                <w:sz w:val="24"/>
                <w:szCs w:val="24"/>
                <w:highlight w:val="none"/>
                <w:lang w:val="en-US" w:eastAsia="zh-CN" w:bidi="ar-SA"/>
              </w:rPr>
              <w:t>推进</w:t>
            </w:r>
            <w:r>
              <w:rPr>
                <w:rFonts w:hint="eastAsia" w:ascii="宋体" w:hAnsi="宋体" w:eastAsia="方正楷体_GBK" w:cs="方正楷体_GBK"/>
                <w:snapToGrid w:val="0"/>
                <w:color w:val="auto"/>
                <w:sz w:val="24"/>
                <w:szCs w:val="24"/>
                <w:highlight w:val="none"/>
                <w:lang w:val="en-US" w:eastAsia="zh-CN" w:bidi="ar-SA"/>
              </w:rPr>
              <w:t>森林康养和自然教育</w:t>
            </w:r>
            <w:r>
              <w:rPr>
                <w:rFonts w:hint="eastAsia" w:eastAsia="方正楷体_GBK" w:cs="方正楷体_GBK"/>
                <w:snapToGrid w:val="0"/>
                <w:color w:val="auto"/>
                <w:sz w:val="24"/>
                <w:szCs w:val="24"/>
                <w:highlight w:val="none"/>
                <w:lang w:val="en-US" w:eastAsia="zh-CN" w:bidi="ar-SA"/>
              </w:rPr>
              <w:t>等</w:t>
            </w:r>
            <w:r>
              <w:rPr>
                <w:rFonts w:hint="eastAsia" w:ascii="宋体" w:hAnsi="宋体" w:eastAsia="方正楷体_GBK" w:cs="方正楷体_GBK"/>
                <w:snapToGrid w:val="0"/>
                <w:color w:val="auto"/>
                <w:sz w:val="24"/>
                <w:szCs w:val="24"/>
                <w:highlight w:val="none"/>
                <w:lang w:val="en-US" w:eastAsia="zh-CN" w:bidi="ar-SA"/>
              </w:rPr>
              <w:t>。</w:t>
            </w:r>
          </w:p>
          <w:p>
            <w:pPr>
              <w:keepNext w:val="0"/>
              <w:keepLines w:val="0"/>
              <w:pageBreakBefore w:val="0"/>
              <w:widowControl/>
              <w:kinsoku w:val="0"/>
              <w:wordWrap/>
              <w:overflowPunct/>
              <w:topLinePunct w:val="0"/>
              <w:autoSpaceDE/>
              <w:autoSpaceDN/>
              <w:bidi w:val="0"/>
              <w:adjustRightInd w:val="0"/>
              <w:snapToGrid w:val="0"/>
              <w:spacing w:line="400" w:lineRule="exact"/>
              <w:ind w:firstLine="480" w:firstLineChars="200"/>
              <w:jc w:val="both"/>
              <w:textAlignment w:val="baseline"/>
              <w:outlineLvl w:val="9"/>
              <w:rPr>
                <w:rFonts w:hint="eastAsia" w:ascii="宋体" w:hAnsi="宋体" w:eastAsia="方正楷体_GBK" w:cs="方正楷体_GBK"/>
                <w:snapToGrid w:val="0"/>
                <w:color w:val="auto"/>
                <w:sz w:val="24"/>
                <w:szCs w:val="24"/>
                <w:highlight w:val="none"/>
                <w:lang w:val="en-US" w:eastAsia="zh-CN" w:bidi="ar-SA"/>
              </w:rPr>
            </w:pPr>
            <w:r>
              <w:rPr>
                <w:rFonts w:hint="eastAsia" w:ascii="宋体" w:hAnsi="宋体" w:eastAsia="方正楷体_GBK" w:cs="方正楷体_GBK"/>
                <w:b w:val="0"/>
                <w:bCs w:val="0"/>
                <w:color w:val="auto"/>
                <w:spacing w:val="0"/>
                <w:sz w:val="24"/>
                <w:szCs w:val="24"/>
                <w:highlight w:val="none"/>
                <w:lang w:val="en-US" w:eastAsia="zh-CN"/>
              </w:rPr>
              <w:t>（2）</w:t>
            </w:r>
            <w:r>
              <w:rPr>
                <w:rFonts w:hint="eastAsia" w:ascii="宋体" w:hAnsi="宋体" w:eastAsia="方正楷体_GBK" w:cs="方正楷体_GBK"/>
                <w:snapToGrid w:val="0"/>
                <w:color w:val="auto"/>
                <w:sz w:val="24"/>
                <w:szCs w:val="24"/>
                <w:highlight w:val="none"/>
                <w:lang w:val="en-US" w:eastAsia="zh-CN" w:bidi="ar-SA"/>
              </w:rPr>
              <w:t>发展布局：</w:t>
            </w:r>
            <w:r>
              <w:rPr>
                <w:rFonts w:hint="eastAsia" w:eastAsia="方正楷体_GBK" w:cs="方正楷体_GBK"/>
                <w:snapToGrid w:val="0"/>
                <w:color w:val="auto"/>
                <w:sz w:val="24"/>
                <w:szCs w:val="24"/>
                <w:highlight w:val="none"/>
                <w:lang w:val="en-US" w:eastAsia="zh-CN" w:bidi="ar-SA"/>
              </w:rPr>
              <w:t>全省16个州市。</w:t>
            </w:r>
          </w:p>
          <w:p>
            <w:pPr>
              <w:keepNext w:val="0"/>
              <w:keepLines w:val="0"/>
              <w:pageBreakBefore w:val="0"/>
              <w:widowControl/>
              <w:kinsoku w:val="0"/>
              <w:wordWrap/>
              <w:overflowPunct/>
              <w:topLinePunct w:val="0"/>
              <w:autoSpaceDE/>
              <w:autoSpaceDN/>
              <w:bidi w:val="0"/>
              <w:adjustRightInd w:val="0"/>
              <w:snapToGrid w:val="0"/>
              <w:spacing w:line="400" w:lineRule="exact"/>
              <w:ind w:firstLine="481" w:firstLineChars="200"/>
              <w:jc w:val="both"/>
              <w:textAlignment w:val="baseline"/>
              <w:outlineLvl w:val="9"/>
              <w:rPr>
                <w:rFonts w:hint="eastAsia" w:ascii="宋体" w:hAnsi="宋体" w:eastAsia="方正楷体_GBK" w:cs="方正楷体_GBK"/>
                <w:b/>
                <w:bCs/>
                <w:snapToGrid w:val="0"/>
                <w:color w:val="auto"/>
                <w:spacing w:val="0"/>
                <w:kern w:val="0"/>
                <w:sz w:val="24"/>
                <w:szCs w:val="24"/>
                <w:highlight w:val="none"/>
                <w:lang w:val="en-US" w:eastAsia="zh-CN" w:bidi="ar-SA"/>
              </w:rPr>
            </w:pPr>
            <w:r>
              <w:rPr>
                <w:rFonts w:hint="eastAsia" w:ascii="宋体" w:hAnsi="宋体" w:eastAsia="方正楷体_GBK" w:cs="方正楷体_GBK"/>
                <w:b/>
                <w:bCs/>
                <w:color w:val="auto"/>
                <w:spacing w:val="0"/>
                <w:sz w:val="24"/>
                <w:szCs w:val="24"/>
                <w:highlight w:val="none"/>
                <w:lang w:val="en-US" w:eastAsia="zh-CN"/>
              </w:rPr>
              <w:t>2.开发</w:t>
            </w:r>
            <w:r>
              <w:rPr>
                <w:rFonts w:hint="eastAsia" w:ascii="宋体" w:hAnsi="宋体" w:eastAsia="方正楷体_GBK" w:cs="方正楷体_GBK"/>
                <w:b/>
                <w:bCs/>
                <w:snapToGrid w:val="0"/>
                <w:color w:val="auto"/>
                <w:spacing w:val="0"/>
                <w:kern w:val="0"/>
                <w:sz w:val="24"/>
                <w:szCs w:val="24"/>
                <w:highlight w:val="none"/>
                <w:lang w:val="en-US" w:eastAsia="zh-CN" w:bidi="ar-SA"/>
              </w:rPr>
              <w:t>森林碳汇</w:t>
            </w:r>
          </w:p>
          <w:p>
            <w:pPr>
              <w:pStyle w:val="2"/>
              <w:keepNext w:val="0"/>
              <w:keepLines w:val="0"/>
              <w:pageBreakBefore w:val="0"/>
              <w:widowControl/>
              <w:kinsoku w:val="0"/>
              <w:wordWrap/>
              <w:overflowPunct/>
              <w:topLinePunct w:val="0"/>
              <w:autoSpaceDE/>
              <w:autoSpaceDN/>
              <w:bidi w:val="0"/>
              <w:adjustRightInd w:val="0"/>
              <w:snapToGrid w:val="0"/>
              <w:spacing w:line="400" w:lineRule="exact"/>
              <w:ind w:firstLine="480" w:firstLineChars="200"/>
              <w:jc w:val="both"/>
              <w:textAlignment w:val="baseline"/>
              <w:rPr>
                <w:rFonts w:hint="eastAsia" w:ascii="方正楷体_GBK" w:hAnsi="方正楷体_GBK" w:eastAsia="方正楷体_GBK" w:cs="方正楷体_GBK"/>
                <w:color w:val="auto"/>
                <w:sz w:val="24"/>
                <w:szCs w:val="24"/>
                <w:highlight w:val="none"/>
                <w:lang w:eastAsia="zh-CN"/>
              </w:rPr>
            </w:pPr>
            <w:r>
              <w:rPr>
                <w:rFonts w:hint="eastAsia" w:ascii="宋体" w:hAnsi="宋体" w:eastAsia="方正楷体_GBK" w:cs="方正楷体_GBK"/>
                <w:color w:val="auto"/>
                <w:sz w:val="24"/>
                <w:szCs w:val="24"/>
                <w:highlight w:val="none"/>
                <w:lang w:eastAsia="zh-CN"/>
              </w:rPr>
              <w:t>持续加强天然林保护修复，稳步提升森林质量，巩固并增强森林生态系统碳汇功能。依托林草生态综合监测体系，摸清全省森林碳储量本底及碳汇潜力，为林业碳汇项目开发夯实数据基础。引导社会主体积极参与全国温室气体自愿减排项目开发，推动生态产品价值实现。积极开发天然林商品林等碳普惠项目，探索碳普惠、碳金融、碳保险等模式的应用场景，促进碳资源向碳资产的有效转化。</w:t>
            </w:r>
          </w:p>
        </w:tc>
      </w:tr>
      <w:bookmarkEnd w:id="197"/>
    </w:tbl>
    <w:p>
      <w:pPr>
        <w:pStyle w:val="4"/>
        <w:keepNext/>
        <w:keepLines/>
        <w:pageBreakBefore w:val="0"/>
        <w:widowControl/>
        <w:numPr>
          <w:ilvl w:val="0"/>
          <w:numId w:val="0"/>
        </w:numPr>
        <w:kinsoku/>
        <w:wordWrap/>
        <w:overflowPunct/>
        <w:topLinePunct w:val="0"/>
        <w:autoSpaceDE/>
        <w:autoSpaceDN/>
        <w:bidi w:val="0"/>
        <w:adjustRightInd/>
        <w:snapToGrid/>
        <w:spacing w:before="157" w:beforeLines="50" w:beforeAutospacing="0" w:after="157" w:afterLines="50" w:line="578" w:lineRule="exact"/>
        <w:ind w:firstLine="616" w:firstLineChars="200"/>
        <w:jc w:val="left"/>
        <w:textAlignment w:val="auto"/>
        <w:rPr>
          <w:rFonts w:hint="eastAsia" w:ascii="宋体" w:hAnsi="宋体" w:eastAsia="方正黑体_GBK" w:cs="方正黑体_GBK"/>
          <w:b w:val="0"/>
          <w:snapToGrid/>
          <w:color w:val="auto"/>
          <w:spacing w:val="-6"/>
          <w:sz w:val="32"/>
          <w:szCs w:val="32"/>
          <w:highlight w:val="none"/>
          <w:lang w:eastAsia="zh-CN" w:bidi="ar"/>
        </w:rPr>
      </w:pPr>
      <w:bookmarkStart w:id="206" w:name="_Toc18036"/>
      <w:bookmarkStart w:id="207" w:name="_Toc2321"/>
      <w:bookmarkStart w:id="208" w:name="_Toc21861"/>
      <w:bookmarkStart w:id="209" w:name="_Toc4551"/>
      <w:bookmarkStart w:id="210" w:name="_Toc12709"/>
      <w:bookmarkStart w:id="211" w:name="_Toc13519"/>
      <w:bookmarkStart w:id="212" w:name="_Toc28171"/>
      <w:bookmarkStart w:id="213" w:name="_Toc12215"/>
      <w:bookmarkStart w:id="214" w:name="_Toc29956"/>
      <w:bookmarkStart w:id="215" w:name="_Toc29189"/>
      <w:bookmarkStart w:id="216" w:name="_Toc18758"/>
      <w:bookmarkStart w:id="217" w:name="_Toc190269663"/>
      <w:bookmarkStart w:id="218" w:name="_Toc8424"/>
      <w:bookmarkStart w:id="219" w:name="_Toc3555"/>
      <w:bookmarkStart w:id="220" w:name="_Toc28002"/>
      <w:bookmarkStart w:id="221" w:name="_Toc9615"/>
      <w:bookmarkStart w:id="222" w:name="_Toc27894"/>
      <w:bookmarkStart w:id="223" w:name="_Toc32157"/>
      <w:bookmarkStart w:id="224" w:name="_Toc12347"/>
      <w:bookmarkStart w:id="225" w:name="_Toc21919"/>
      <w:bookmarkStart w:id="226" w:name="_Toc9020"/>
      <w:bookmarkStart w:id="227" w:name="_Toc22041"/>
      <w:bookmarkStart w:id="228" w:name="_Toc15787"/>
      <w:bookmarkStart w:id="229" w:name="_Toc19061"/>
      <w:bookmarkStart w:id="230" w:name="_Toc30009"/>
      <w:bookmarkStart w:id="231" w:name="_Toc12264"/>
      <w:bookmarkStart w:id="232" w:name="_Toc5356"/>
      <w:bookmarkStart w:id="233" w:name="_Toc31772"/>
      <w:bookmarkStart w:id="234" w:name="_Toc12975"/>
      <w:bookmarkStart w:id="235" w:name="_Toc25925"/>
      <w:bookmarkStart w:id="236" w:name="_Toc27692"/>
      <w:bookmarkStart w:id="237" w:name="_Toc9724"/>
      <w:bookmarkStart w:id="238" w:name="_Toc14845"/>
      <w:bookmarkStart w:id="239" w:name="_Toc23656"/>
      <w:bookmarkStart w:id="240" w:name="_Toc12973"/>
      <w:bookmarkStart w:id="241" w:name="_Toc2988"/>
      <w:bookmarkStart w:id="242" w:name="_Toc18532"/>
      <w:bookmarkStart w:id="243" w:name="_Toc15573"/>
      <w:r>
        <w:rPr>
          <w:rFonts w:hint="eastAsia" w:ascii="宋体" w:hAnsi="宋体" w:eastAsia="方正黑体_GBK" w:cs="方正黑体_GBK"/>
          <w:b w:val="0"/>
          <w:snapToGrid/>
          <w:color w:val="auto"/>
          <w:spacing w:val="-6"/>
          <w:sz w:val="32"/>
          <w:szCs w:val="32"/>
          <w:highlight w:val="none"/>
          <w:lang w:val="en-US" w:eastAsia="zh-CN" w:bidi="ar"/>
        </w:rPr>
        <w:t>五、</w:t>
      </w:r>
      <w:r>
        <w:rPr>
          <w:rFonts w:hint="eastAsia" w:ascii="宋体" w:hAnsi="宋体" w:eastAsia="方正黑体_GBK" w:cs="方正黑体_GBK"/>
          <w:b w:val="0"/>
          <w:snapToGrid/>
          <w:color w:val="auto"/>
          <w:spacing w:val="-6"/>
          <w:sz w:val="32"/>
          <w:szCs w:val="32"/>
          <w:highlight w:val="none"/>
          <w:lang w:eastAsia="zh-CN" w:bidi="ar"/>
        </w:rPr>
        <w:t>保障</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Fonts w:hint="eastAsia" w:ascii="宋体" w:hAnsi="宋体" w:eastAsia="方正黑体_GBK" w:cs="方正黑体_GBK"/>
          <w:b w:val="0"/>
          <w:snapToGrid/>
          <w:color w:val="auto"/>
          <w:spacing w:val="-6"/>
          <w:sz w:val="32"/>
          <w:szCs w:val="32"/>
          <w:highlight w:val="none"/>
          <w:lang w:eastAsia="zh-CN" w:bidi="ar"/>
        </w:rPr>
        <w:t>措施</w:t>
      </w:r>
    </w:p>
    <w:p>
      <w:pPr>
        <w:pStyle w:val="2"/>
        <w:keepNext w:val="0"/>
        <w:keepLines w:val="0"/>
        <w:pageBreakBefore w:val="0"/>
        <w:widowControl/>
        <w:kinsoku/>
        <w:wordWrap/>
        <w:overflowPunct/>
        <w:topLinePunct w:val="0"/>
        <w:autoSpaceDE w:val="0"/>
        <w:autoSpaceDN w:val="0"/>
        <w:bidi w:val="0"/>
        <w:adjustRightInd w:val="0"/>
        <w:snapToGrid w:val="0"/>
        <w:spacing w:line="578" w:lineRule="exact"/>
        <w:ind w:firstLine="640" w:firstLineChars="200"/>
        <w:jc w:val="both"/>
        <w:textAlignment w:val="baseline"/>
        <w:rPr>
          <w:rFonts w:hint="default" w:ascii="宋体" w:hAnsi="宋体" w:eastAsia="方正仿宋_GBK" w:cs="方正仿宋_GBK"/>
          <w:color w:val="auto"/>
          <w:sz w:val="32"/>
          <w:szCs w:val="32"/>
          <w:highlight w:val="none"/>
          <w:lang w:val="en-US" w:eastAsia="zh-CN"/>
        </w:rPr>
      </w:pPr>
      <w:bookmarkStart w:id="244" w:name="_Toc11318"/>
      <w:bookmarkStart w:id="245" w:name="_Toc13561"/>
      <w:bookmarkStart w:id="246" w:name="_Toc3606"/>
      <w:bookmarkStart w:id="247" w:name="_Toc27918"/>
      <w:bookmarkStart w:id="248" w:name="_Toc10355"/>
      <w:bookmarkStart w:id="249" w:name="_Toc328"/>
      <w:bookmarkStart w:id="250" w:name="_Toc29554"/>
      <w:bookmarkStart w:id="251" w:name="_Toc23590"/>
      <w:bookmarkStart w:id="252" w:name="_Toc14238"/>
      <w:bookmarkStart w:id="253" w:name="_Toc24608"/>
      <w:bookmarkStart w:id="254" w:name="_Toc18717"/>
      <w:bookmarkStart w:id="255" w:name="_Toc32597"/>
      <w:bookmarkStart w:id="256" w:name="_Toc12823"/>
      <w:bookmarkStart w:id="257" w:name="_Toc5484"/>
      <w:bookmarkStart w:id="258" w:name="_Toc32126"/>
      <w:bookmarkStart w:id="259" w:name="_Toc25322"/>
      <w:bookmarkStart w:id="260" w:name="_Toc7509"/>
      <w:bookmarkStart w:id="261" w:name="_Toc30700"/>
      <w:bookmarkStart w:id="262" w:name="_Toc5927"/>
      <w:bookmarkStart w:id="263" w:name="_Toc587"/>
      <w:bookmarkStart w:id="264" w:name="_Toc8573"/>
      <w:bookmarkStart w:id="265" w:name="_Toc12689"/>
      <w:bookmarkStart w:id="266" w:name="_Toc21578"/>
      <w:bookmarkStart w:id="267" w:name="_Toc26742"/>
      <w:bookmarkStart w:id="268" w:name="_Toc23374"/>
      <w:bookmarkStart w:id="269" w:name="_Toc28648"/>
      <w:bookmarkStart w:id="270" w:name="_Toc15216"/>
      <w:bookmarkStart w:id="271" w:name="_Toc9369"/>
      <w:bookmarkStart w:id="272" w:name="_Toc21210"/>
      <w:bookmarkStart w:id="273" w:name="_Toc1732"/>
      <w:bookmarkStart w:id="274" w:name="_Toc190269670"/>
      <w:r>
        <w:rPr>
          <w:rFonts w:hint="eastAsia" w:ascii="宋体" w:hAnsi="宋体" w:eastAsia="方正仿宋_GBK" w:cs="方正仿宋_GBK"/>
          <w:color w:val="auto"/>
          <w:sz w:val="32"/>
          <w:szCs w:val="32"/>
          <w:highlight w:val="none"/>
          <w:lang w:eastAsia="zh-CN"/>
        </w:rPr>
        <w:t>实行目标、任务、资金、责任“四到县”制度。州、县级依据相关上位规划组织编制天然林保护修复实施方案，明确本行政区域天然林保护范围、目标任务和修复举措。</w:t>
      </w:r>
      <w:r>
        <w:rPr>
          <w:rFonts w:hint="eastAsia" w:ascii="宋体" w:hAnsi="宋体" w:eastAsia="方正仿宋_GBK" w:cs="方正仿宋_GBK"/>
          <w:snapToGrid w:val="0"/>
          <w:color w:val="auto"/>
          <w:kern w:val="2"/>
          <w:sz w:val="32"/>
          <w:szCs w:val="32"/>
          <w:highlight w:val="none"/>
          <w:lang w:val="en-US" w:eastAsia="zh-CN" w:bidi="ar-SA"/>
        </w:rPr>
        <w:t>规划期内，根据经济社会发展情况和保护修复实际需要，依据国家政策，按程序调整完善具体政策内容。</w:t>
      </w:r>
      <w:r>
        <w:rPr>
          <w:rFonts w:hint="eastAsia" w:ascii="宋体" w:hAnsi="宋体" w:eastAsia="方正仿宋_GBK" w:cs="方正仿宋_GBK"/>
          <w:color w:val="auto"/>
          <w:sz w:val="32"/>
          <w:szCs w:val="32"/>
          <w:highlight w:val="none"/>
          <w:lang w:eastAsia="zh-CN" w:bidi="ar"/>
        </w:rPr>
        <w:t>建立</w:t>
      </w:r>
      <w:r>
        <w:rPr>
          <w:rFonts w:hint="eastAsia" w:ascii="宋体" w:hAnsi="宋体" w:eastAsia="方正仿宋_GBK" w:cs="方正仿宋_GBK"/>
          <w:color w:val="auto"/>
          <w:sz w:val="32"/>
          <w:szCs w:val="32"/>
          <w:highlight w:val="none"/>
          <w:lang w:val="en-US" w:eastAsia="zh-CN" w:bidi="ar"/>
        </w:rPr>
        <w:t>健全</w:t>
      </w:r>
      <w:r>
        <w:rPr>
          <w:rFonts w:hint="eastAsia" w:ascii="宋体" w:hAnsi="宋体" w:eastAsia="方正仿宋_GBK" w:cs="方正仿宋_GBK"/>
          <w:color w:val="auto"/>
          <w:sz w:val="32"/>
          <w:szCs w:val="32"/>
          <w:highlight w:val="none"/>
          <w:lang w:eastAsia="zh-CN"/>
        </w:rPr>
        <w:t>天然林保护</w:t>
      </w:r>
      <w:r>
        <w:rPr>
          <w:rFonts w:hint="eastAsia" w:ascii="宋体" w:hAnsi="宋体" w:eastAsia="方正仿宋_GBK" w:cs="方正仿宋_GBK"/>
          <w:color w:val="auto"/>
          <w:sz w:val="32"/>
          <w:szCs w:val="32"/>
          <w:highlight w:val="none"/>
          <w:lang w:eastAsia="zh-CN" w:bidi="ar"/>
        </w:rPr>
        <w:t>行政首长负责制、</w:t>
      </w:r>
      <w:r>
        <w:rPr>
          <w:rFonts w:hint="eastAsia" w:ascii="宋体" w:hAnsi="宋体" w:eastAsia="方正仿宋_GBK" w:cs="方正仿宋_GBK"/>
          <w:color w:val="auto"/>
          <w:sz w:val="32"/>
          <w:szCs w:val="32"/>
          <w:highlight w:val="none"/>
          <w:lang w:eastAsia="zh-CN"/>
        </w:rPr>
        <w:t>目标责任考核制</w:t>
      </w:r>
      <w:r>
        <w:rPr>
          <w:rFonts w:hint="eastAsia" w:ascii="宋体" w:hAnsi="宋体" w:eastAsia="方正仿宋_GBK" w:cs="方正仿宋_GBK"/>
          <w:snapToGrid w:val="0"/>
          <w:color w:val="auto"/>
          <w:kern w:val="0"/>
          <w:sz w:val="32"/>
          <w:szCs w:val="32"/>
          <w:highlight w:val="none"/>
          <w:lang w:val="en-US" w:eastAsia="zh-CN" w:bidi="ar-SA"/>
        </w:rPr>
        <w:t>、林长制考核及领导干部自然资源资产离任审计制</w:t>
      </w:r>
      <w:r>
        <w:rPr>
          <w:rFonts w:hint="eastAsia" w:ascii="宋体" w:hAnsi="宋体" w:eastAsia="方正仿宋_GBK" w:cs="方正仿宋_GBK"/>
          <w:snapToGrid w:val="0"/>
          <w:color w:val="auto"/>
          <w:kern w:val="2"/>
          <w:sz w:val="32"/>
          <w:szCs w:val="32"/>
          <w:highlight w:val="none"/>
          <w:lang w:val="en-US" w:eastAsia="zh-CN" w:bidi="ar-SA"/>
        </w:rPr>
        <w:t>度。</w:t>
      </w:r>
      <w:r>
        <w:rPr>
          <w:rFonts w:hint="eastAsia" w:ascii="宋体" w:hAnsi="宋体" w:eastAsia="方正仿宋_GBK" w:cs="方正仿宋_GBK"/>
          <w:snapToGrid w:val="0"/>
          <w:color w:val="auto"/>
          <w:spacing w:val="0"/>
          <w:kern w:val="2"/>
          <w:sz w:val="32"/>
          <w:szCs w:val="32"/>
          <w:highlight w:val="none"/>
          <w:lang w:eastAsia="zh-CN"/>
        </w:rPr>
        <w:t>统筹整合天然林、公益林</w:t>
      </w:r>
      <w:r>
        <w:rPr>
          <w:rFonts w:hint="eastAsia" w:ascii="宋体" w:hAnsi="宋体" w:eastAsia="方正仿宋_GBK" w:cs="方正仿宋_GBK"/>
          <w:snapToGrid w:val="0"/>
          <w:color w:val="auto"/>
          <w:spacing w:val="0"/>
          <w:kern w:val="2"/>
          <w:sz w:val="32"/>
          <w:szCs w:val="32"/>
          <w:highlight w:val="none"/>
          <w:lang w:val="en-US" w:eastAsia="zh-CN"/>
        </w:rPr>
        <w:t>管护</w:t>
      </w:r>
      <w:r>
        <w:rPr>
          <w:rFonts w:hint="eastAsia" w:ascii="宋体" w:hAnsi="宋体" w:eastAsia="方正仿宋_GBK" w:cs="方正仿宋_GBK"/>
          <w:snapToGrid w:val="0"/>
          <w:color w:val="auto"/>
          <w:spacing w:val="0"/>
          <w:kern w:val="2"/>
          <w:sz w:val="32"/>
          <w:szCs w:val="32"/>
          <w:highlight w:val="none"/>
          <w:lang w:eastAsia="zh-CN"/>
        </w:rPr>
        <w:t>资金，</w:t>
      </w:r>
      <w:r>
        <w:rPr>
          <w:rFonts w:hint="eastAsia" w:ascii="宋体" w:hAnsi="宋体" w:eastAsia="方正仿宋_GBK" w:cs="方正仿宋_GBK"/>
          <w:color w:val="auto"/>
          <w:kern w:val="2"/>
          <w:sz w:val="32"/>
          <w:szCs w:val="32"/>
          <w:highlight w:val="none"/>
          <w:lang w:eastAsia="zh-CN"/>
        </w:rPr>
        <w:t>以县级实施单位测算分配，</w:t>
      </w:r>
      <w:r>
        <w:rPr>
          <w:rFonts w:hint="eastAsia" w:ascii="宋体" w:hAnsi="宋体" w:eastAsia="方正仿宋_GBK" w:cs="方正仿宋_GBK"/>
          <w:snapToGrid w:val="0"/>
          <w:color w:val="auto"/>
          <w:kern w:val="2"/>
          <w:sz w:val="32"/>
          <w:szCs w:val="32"/>
          <w:highlight w:val="none"/>
          <w:lang w:val="en-US" w:eastAsia="zh-CN" w:bidi="ar-SA"/>
        </w:rPr>
        <w:t>用于保护修复、转型发展和民生保障，优先确保兜牢森工企业职工基本民生底线。强化资金监管，严格预算执行，全面实行预算绩效管理。积极构建天然林保护修复多元化投入机制，探索生态产品价值实现与差异化生态补偿机制。规范项目全流程管理，定期开展天然林保护修复成效监测，每5年对政策执行情况开展一次评估</w:t>
      </w:r>
      <w:r>
        <w:rPr>
          <w:rFonts w:hint="eastAsia" w:ascii="宋体" w:hAnsi="宋体" w:eastAsia="方正仿宋_GBK" w:cs="方正仿宋_GBK"/>
          <w:color w:val="auto"/>
          <w:sz w:val="32"/>
          <w:szCs w:val="32"/>
          <w:highlight w:val="none"/>
          <w:lang w:eastAsia="zh-CN"/>
        </w:rPr>
        <w:t>。</w:t>
      </w:r>
      <w:r>
        <w:rPr>
          <w:rFonts w:hint="eastAsia" w:ascii="宋体" w:hAnsi="宋体" w:eastAsia="方正仿宋_GBK" w:cs="方正仿宋_GBK"/>
          <w:snapToGrid w:val="0"/>
          <w:color w:val="auto"/>
          <w:kern w:val="2"/>
          <w:sz w:val="32"/>
          <w:szCs w:val="32"/>
          <w:highlight w:val="none"/>
          <w:lang w:val="en-US" w:eastAsia="zh-CN" w:bidi="ar-SA"/>
        </w:rPr>
        <w:t>强化科技支</w:t>
      </w:r>
      <w:r>
        <w:rPr>
          <w:rFonts w:hint="eastAsia" w:ascii="宋体" w:hAnsi="宋体" w:eastAsia="方正仿宋_GBK" w:cs="方正仿宋_GBK"/>
          <w:snapToGrid w:val="0"/>
          <w:color w:val="auto"/>
          <w:kern w:val="0"/>
          <w:sz w:val="32"/>
          <w:szCs w:val="32"/>
          <w:highlight w:val="none"/>
          <w:lang w:val="en-US" w:eastAsia="zh-CN" w:bidi="ar-SA"/>
        </w:rPr>
        <w:t>撑，不断提升</w:t>
      </w:r>
      <w:r>
        <w:rPr>
          <w:rFonts w:hint="eastAsia" w:ascii="宋体" w:hAnsi="宋体" w:eastAsia="方正仿宋_GBK" w:cs="方正仿宋_GBK"/>
          <w:snapToGrid w:val="0"/>
          <w:color w:val="auto"/>
          <w:kern w:val="2"/>
          <w:sz w:val="32"/>
          <w:szCs w:val="32"/>
          <w:highlight w:val="none"/>
          <w:lang w:val="en-US" w:eastAsia="zh-CN" w:bidi="ar-SA"/>
        </w:rPr>
        <w:t>天然林保护修复水平。加大天然林保护宣传力度，广泛动员社会力量参与，营造全民共建、全民共享、全民受益、全社会共抓大保护的良好氛围。</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bookmarkEnd w:id="274"/>
    <w:p>
      <w:pPr>
        <w:widowControl w:val="0"/>
        <w:kinsoku/>
        <w:autoSpaceDE/>
        <w:autoSpaceDN/>
        <w:adjustRightInd/>
        <w:snapToGrid/>
        <w:spacing w:afterLines="100" w:line="578" w:lineRule="exact"/>
        <w:ind w:firstLine="0" w:firstLineChars="0"/>
        <w:jc w:val="both"/>
        <w:textAlignment w:val="auto"/>
        <w:outlineLvl w:val="0"/>
        <w:rPr>
          <w:rFonts w:hint="eastAsia" w:ascii="宋体" w:hAnsi="宋体" w:eastAsia="方正小标宋_GBK" w:cs="方正小标宋_GBK"/>
          <w:bCs/>
          <w:snapToGrid/>
          <w:color w:val="auto"/>
          <w:kern w:val="44"/>
          <w:sz w:val="36"/>
          <w:szCs w:val="36"/>
          <w:highlight w:val="none"/>
          <w:lang w:val="en-US" w:eastAsia="zh-CN"/>
        </w:rPr>
      </w:pPr>
      <w:bookmarkStart w:id="275" w:name="bookmark37"/>
      <w:bookmarkEnd w:id="275"/>
      <w:bookmarkStart w:id="276" w:name="bookmark36"/>
      <w:bookmarkEnd w:id="276"/>
      <w:bookmarkStart w:id="277" w:name="_Toc2693"/>
      <w:r>
        <w:rPr>
          <w:rFonts w:hint="eastAsia" w:ascii="宋体" w:hAnsi="宋体" w:eastAsia="方正小标宋_GBK" w:cs="方正小标宋_GBK"/>
          <w:bCs/>
          <w:snapToGrid/>
          <w:color w:val="auto"/>
          <w:kern w:val="44"/>
          <w:sz w:val="36"/>
          <w:szCs w:val="36"/>
          <w:highlight w:val="none"/>
          <w:lang w:eastAsia="zh-CN"/>
        </w:rPr>
        <w:br w:type="page"/>
      </w:r>
      <w:r>
        <w:rPr>
          <w:rFonts w:hint="eastAsia" w:ascii="宋体" w:hAnsi="宋体" w:eastAsia="方正黑体_GBK" w:cs="宋体"/>
          <w:bCs w:val="0"/>
          <w:snapToGrid/>
          <w:spacing w:val="-6"/>
          <w:kern w:val="2"/>
          <w:sz w:val="32"/>
          <w:szCs w:val="32"/>
          <w:lang w:val="en-US" w:eastAsia="zh-CN"/>
        </w:rPr>
        <w:t>附件1</w:t>
      </w:r>
    </w:p>
    <w:p>
      <w:pPr>
        <w:kinsoku/>
        <w:autoSpaceDE/>
        <w:autoSpaceDN/>
        <w:adjustRightInd/>
        <w:snapToGrid/>
        <w:spacing w:line="578" w:lineRule="exact"/>
        <w:ind w:firstLine="616" w:firstLineChars="200"/>
        <w:jc w:val="center"/>
        <w:textAlignment w:val="center"/>
        <w:rPr>
          <w:rFonts w:hint="eastAsia" w:ascii="宋体" w:hAnsi="宋体" w:eastAsia="方正小标宋_GBK" w:cs="方正小标宋_GBK"/>
          <w:bCs w:val="0"/>
          <w:snapToGrid/>
          <w:color w:val="000000"/>
          <w:spacing w:val="-6"/>
          <w:kern w:val="0"/>
          <w:sz w:val="44"/>
          <w:szCs w:val="44"/>
          <w:lang w:val="en-US" w:eastAsia="zh-CN" w:bidi="ar"/>
        </w:rPr>
      </w:pPr>
      <w:r>
        <w:rPr>
          <w:rFonts w:hint="eastAsia" w:ascii="宋体" w:hAnsi="宋体" w:eastAsia="方正小标宋_GBK" w:cs="方正小标宋_GBK"/>
          <w:bCs w:val="0"/>
          <w:snapToGrid/>
          <w:color w:val="000000"/>
          <w:spacing w:val="-6"/>
          <w:kern w:val="0"/>
          <w:sz w:val="32"/>
          <w:szCs w:val="32"/>
          <w:lang w:val="en-US" w:eastAsia="zh-CN" w:bidi="ar"/>
        </w:rPr>
        <w:t>术语和定义</w:t>
      </w:r>
    </w:p>
    <w:p>
      <w:pPr>
        <w:pStyle w:val="2"/>
        <w:autoSpaceDE/>
        <w:autoSpaceDN/>
        <w:spacing w:line="530" w:lineRule="exact"/>
        <w:ind w:firstLine="586" w:firstLineChars="200"/>
        <w:jc w:val="both"/>
        <w:rPr>
          <w:rFonts w:hint="eastAsia" w:ascii="宋体" w:hAnsi="宋体" w:eastAsia="方正仿宋_GBK" w:cs="方正仿宋_GBK"/>
          <w:color w:val="auto"/>
          <w:sz w:val="28"/>
          <w:szCs w:val="28"/>
          <w:highlight w:val="none"/>
          <w:lang w:eastAsia="zh-CN"/>
        </w:rPr>
      </w:pPr>
      <w:r>
        <w:rPr>
          <w:rFonts w:hint="eastAsia" w:ascii="宋体" w:hAnsi="宋体" w:eastAsiaTheme="minorEastAsia" w:cstheme="minorEastAsia"/>
          <w:b/>
          <w:bCs/>
          <w:color w:val="auto"/>
          <w:spacing w:val="6"/>
          <w:sz w:val="28"/>
          <w:szCs w:val="28"/>
          <w:highlight w:val="none"/>
          <w:lang w:eastAsia="zh-CN"/>
        </w:rPr>
        <w:t>1</w:t>
      </w:r>
      <w:r>
        <w:rPr>
          <w:rFonts w:hint="eastAsia" w:ascii="宋体" w:hAnsi="宋体" w:eastAsia="方正仿宋_GBK" w:cs="方正仿宋_GBK"/>
          <w:b/>
          <w:bCs/>
          <w:color w:val="auto"/>
          <w:sz w:val="28"/>
          <w:szCs w:val="28"/>
          <w:highlight w:val="none"/>
          <w:lang w:eastAsia="zh-CN"/>
        </w:rPr>
        <w:t>.天然林：</w:t>
      </w:r>
      <w:r>
        <w:rPr>
          <w:rFonts w:hint="eastAsia" w:ascii="宋体" w:hAnsi="宋体" w:eastAsia="方正仿宋_GBK" w:cs="方正仿宋_GBK"/>
          <w:color w:val="auto"/>
          <w:sz w:val="28"/>
          <w:szCs w:val="28"/>
          <w:highlight w:val="none"/>
          <w:lang w:eastAsia="zh-CN"/>
        </w:rPr>
        <w:t>天然下种、人工促进天然更新或天然根株上萌生形成的乔木林、竹林、灌木林和疏林，按演替状况分为原始林和天然次生林。</w:t>
      </w:r>
    </w:p>
    <w:p>
      <w:pPr>
        <w:pStyle w:val="2"/>
        <w:autoSpaceDE/>
        <w:autoSpaceDN/>
        <w:spacing w:line="530" w:lineRule="exact"/>
        <w:ind w:firstLine="586" w:firstLineChars="200"/>
        <w:jc w:val="both"/>
        <w:rPr>
          <w:rFonts w:hint="eastAsia" w:ascii="宋体" w:hAnsi="宋体" w:eastAsia="方正仿宋_GBK"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eastAsia="zh-CN"/>
        </w:rPr>
        <w:t>2</w:t>
      </w:r>
      <w:r>
        <w:rPr>
          <w:rFonts w:hint="eastAsia" w:ascii="宋体" w:hAnsi="宋体" w:eastAsia="方正仿宋_GBK" w:cs="方正仿宋_GBK"/>
          <w:b/>
          <w:bCs/>
          <w:color w:val="auto"/>
          <w:spacing w:val="6"/>
          <w:sz w:val="28"/>
          <w:szCs w:val="28"/>
          <w:highlight w:val="none"/>
          <w:lang w:eastAsia="zh-CN"/>
        </w:rPr>
        <w:t>.原始林：</w:t>
      </w:r>
      <w:r>
        <w:rPr>
          <w:rFonts w:hint="eastAsia" w:ascii="宋体" w:hAnsi="宋体" w:eastAsia="方正仿宋_GBK" w:cs="方正仿宋_GBK"/>
          <w:color w:val="auto"/>
          <w:spacing w:val="6"/>
          <w:sz w:val="28"/>
          <w:szCs w:val="28"/>
          <w:highlight w:val="none"/>
          <w:lang w:eastAsia="zh-CN"/>
        </w:rPr>
        <w:t>即原始森林，指在完全天然状态下生长发育形成的、没有明显人类活动迹象且生态进程未受显著人为干扰、其植被类型具有典型地带性特征的森林生态系统。</w:t>
      </w:r>
    </w:p>
    <w:p>
      <w:pPr>
        <w:pStyle w:val="2"/>
        <w:autoSpaceDE/>
        <w:autoSpaceDN/>
        <w:spacing w:line="530" w:lineRule="exact"/>
        <w:ind w:firstLine="586" w:firstLineChars="200"/>
        <w:jc w:val="both"/>
        <w:rPr>
          <w:rFonts w:hint="eastAsia" w:ascii="宋体" w:hAnsi="宋体" w:eastAsia="方正仿宋_GBK"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eastAsia="zh-CN"/>
        </w:rPr>
        <w:t>3</w:t>
      </w:r>
      <w:r>
        <w:rPr>
          <w:rFonts w:hint="eastAsia" w:ascii="宋体" w:hAnsi="宋体" w:eastAsia="方正仿宋_GBK" w:cs="方正仿宋_GBK"/>
          <w:b/>
          <w:bCs/>
          <w:color w:val="auto"/>
          <w:spacing w:val="6"/>
          <w:sz w:val="28"/>
          <w:szCs w:val="28"/>
          <w:highlight w:val="none"/>
          <w:lang w:eastAsia="zh-CN"/>
        </w:rPr>
        <w:t>.公益林：</w:t>
      </w:r>
      <w:r>
        <w:rPr>
          <w:rFonts w:hint="eastAsia" w:ascii="宋体" w:hAnsi="宋体" w:eastAsia="方正仿宋_GBK" w:cs="方正仿宋_GBK"/>
          <w:color w:val="auto"/>
          <w:spacing w:val="6"/>
          <w:sz w:val="28"/>
          <w:szCs w:val="28"/>
          <w:highlight w:val="none"/>
          <w:lang w:eastAsia="zh-CN"/>
        </w:rPr>
        <w:t>为维护和改善生态环境、保持生态平衡、保护生物多样性等满足人类社会的生态、社会需求和可持续发展为主体功能，主要提供公益性、社会性产品或服务的森林、林木、林地。</w:t>
      </w:r>
    </w:p>
    <w:p>
      <w:pPr>
        <w:pStyle w:val="2"/>
        <w:autoSpaceDE/>
        <w:autoSpaceDN/>
        <w:spacing w:line="530" w:lineRule="exact"/>
        <w:ind w:firstLine="586" w:firstLineChars="200"/>
        <w:jc w:val="both"/>
        <w:rPr>
          <w:rFonts w:hint="eastAsia" w:ascii="宋体" w:hAnsi="宋体" w:eastAsia="方正仿宋_GBK"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eastAsia="zh-CN"/>
        </w:rPr>
        <w:t>4</w:t>
      </w:r>
      <w:r>
        <w:rPr>
          <w:rFonts w:hint="eastAsia" w:ascii="宋体" w:hAnsi="宋体" w:eastAsia="方正仿宋_GBK" w:cs="方正仿宋_GBK"/>
          <w:b/>
          <w:bCs/>
          <w:color w:val="auto"/>
          <w:spacing w:val="6"/>
          <w:sz w:val="28"/>
          <w:szCs w:val="28"/>
          <w:highlight w:val="none"/>
          <w:lang w:eastAsia="zh-CN"/>
        </w:rPr>
        <w:t>.国家级</w:t>
      </w:r>
      <w:r>
        <w:rPr>
          <w:rFonts w:hint="eastAsia" w:ascii="宋体" w:hAnsi="宋体" w:eastAsia="方正仿宋_GBK" w:cs="Times New Roman"/>
          <w:b/>
          <w:bCs/>
          <w:color w:val="auto"/>
          <w:sz w:val="28"/>
          <w:szCs w:val="28"/>
          <w:highlight w:val="none"/>
          <w:lang w:eastAsia="zh-CN"/>
        </w:rPr>
        <w:t>公益林：</w:t>
      </w:r>
      <w:r>
        <w:rPr>
          <w:rFonts w:hint="eastAsia" w:ascii="宋体" w:hAnsi="宋体" w:eastAsia="方正仿宋_GBK" w:cs="方正仿宋_GBK"/>
          <w:color w:val="auto"/>
          <w:spacing w:val="6"/>
          <w:sz w:val="28"/>
          <w:szCs w:val="28"/>
          <w:highlight w:val="none"/>
          <w:lang w:eastAsia="zh-CN"/>
        </w:rPr>
        <w:t>按照《国家级公益林区划界定办法》区划界定的公益林。</w:t>
      </w:r>
    </w:p>
    <w:p>
      <w:pPr>
        <w:pStyle w:val="2"/>
        <w:autoSpaceDE/>
        <w:autoSpaceDN/>
        <w:spacing w:line="530" w:lineRule="exact"/>
        <w:ind w:firstLine="586" w:firstLineChars="200"/>
        <w:jc w:val="both"/>
        <w:rPr>
          <w:rFonts w:hint="eastAsia" w:ascii="宋体" w:hAnsi="宋体" w:eastAsia="方正仿宋_GBK"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eastAsia="zh-CN"/>
        </w:rPr>
        <w:t>5</w:t>
      </w:r>
      <w:r>
        <w:rPr>
          <w:rFonts w:hint="eastAsia" w:ascii="宋体" w:hAnsi="宋体" w:eastAsia="方正仿宋_GBK" w:cs="方正仿宋_GBK"/>
          <w:b/>
          <w:bCs/>
          <w:color w:val="auto"/>
          <w:spacing w:val="6"/>
          <w:sz w:val="28"/>
          <w:szCs w:val="28"/>
          <w:highlight w:val="none"/>
          <w:lang w:eastAsia="zh-CN"/>
        </w:rPr>
        <w:t>.地方公益林：</w:t>
      </w:r>
      <w:r>
        <w:rPr>
          <w:rFonts w:hint="eastAsia" w:ascii="宋体" w:hAnsi="宋体" w:eastAsia="方正仿宋_GBK" w:cs="方正仿宋_GBK"/>
          <w:color w:val="auto"/>
          <w:spacing w:val="6"/>
          <w:sz w:val="28"/>
          <w:szCs w:val="28"/>
          <w:highlight w:val="none"/>
          <w:lang w:eastAsia="zh-CN"/>
        </w:rPr>
        <w:t>地方各级人民政府按有关规定区划界定的公益林。</w:t>
      </w:r>
    </w:p>
    <w:p>
      <w:pPr>
        <w:pStyle w:val="3"/>
        <w:autoSpaceDE/>
        <w:autoSpaceDN/>
        <w:spacing w:line="530" w:lineRule="exact"/>
        <w:ind w:left="0" w:leftChars="0" w:firstLine="586" w:firstLineChars="200"/>
        <w:rPr>
          <w:rFonts w:hint="eastAsia" w:ascii="宋体" w:hAnsi="宋体" w:eastAsia="方正仿宋_GBK"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val="en-US" w:eastAsia="zh-CN"/>
        </w:rPr>
        <w:t>6</w:t>
      </w:r>
      <w:r>
        <w:rPr>
          <w:rFonts w:hint="eastAsia" w:ascii="宋体" w:hAnsi="宋体" w:eastAsia="方正仿宋_GBK" w:cs="方正仿宋_GBK"/>
          <w:b/>
          <w:bCs/>
          <w:color w:val="auto"/>
          <w:spacing w:val="6"/>
          <w:sz w:val="28"/>
          <w:szCs w:val="28"/>
          <w:highlight w:val="none"/>
          <w:lang w:eastAsia="zh-CN"/>
        </w:rPr>
        <w:t>.商品林：</w:t>
      </w:r>
      <w:r>
        <w:rPr>
          <w:rFonts w:hint="eastAsia" w:ascii="宋体" w:hAnsi="宋体" w:eastAsia="方正仿宋_GBK" w:cs="方正仿宋_GBK"/>
          <w:color w:val="auto"/>
          <w:spacing w:val="6"/>
          <w:sz w:val="28"/>
          <w:szCs w:val="28"/>
          <w:highlight w:val="none"/>
          <w:lang w:eastAsia="zh-CN"/>
        </w:rPr>
        <w:t>以提供木材、竹材、薪材、干鲜果品和其他工业原料等为主要经营目的的森林、林木、林地。</w:t>
      </w:r>
    </w:p>
    <w:p>
      <w:pPr>
        <w:pStyle w:val="3"/>
        <w:autoSpaceDE/>
        <w:autoSpaceDN/>
        <w:spacing w:line="530" w:lineRule="exact"/>
        <w:ind w:left="0" w:leftChars="0" w:firstLine="586" w:firstLineChars="200"/>
        <w:rPr>
          <w:rFonts w:hint="default" w:eastAsia="仿宋"/>
          <w:lang w:val="en-US" w:eastAsia="zh-CN"/>
        </w:rPr>
      </w:pPr>
      <w:bookmarkStart w:id="278" w:name="_GoBack"/>
      <w:r>
        <w:rPr>
          <w:rFonts w:hint="eastAsia" w:ascii="宋体" w:hAnsi="宋体" w:cs="方正仿宋_GBK"/>
          <w:b/>
          <w:bCs/>
          <w:color w:val="auto"/>
          <w:spacing w:val="6"/>
          <w:sz w:val="28"/>
          <w:szCs w:val="28"/>
          <w:highlight w:val="none"/>
          <w:lang w:val="en-US" w:eastAsia="zh-CN"/>
        </w:rPr>
        <w:t>7.</w:t>
      </w:r>
      <w:bookmarkEnd w:id="278"/>
      <w:r>
        <w:rPr>
          <w:rFonts w:hint="eastAsia" w:ascii="宋体" w:hAnsi="宋体" w:eastAsia="方正仿宋_GBK" w:cs="方正仿宋_GBK"/>
          <w:b/>
          <w:bCs/>
          <w:color w:val="auto"/>
          <w:spacing w:val="6"/>
          <w:sz w:val="28"/>
          <w:szCs w:val="28"/>
          <w:highlight w:val="none"/>
          <w:lang w:val="en-US" w:eastAsia="zh-CN"/>
        </w:rPr>
        <w:t>管理并轨:</w:t>
      </w:r>
      <w:r>
        <w:rPr>
          <w:rFonts w:ascii="仿宋" w:hAnsi="仿宋" w:eastAsia="仿宋" w:cs="仿宋"/>
          <w:spacing w:val="7"/>
          <w:sz w:val="29"/>
          <w:szCs w:val="29"/>
        </w:rPr>
        <w:t>将非天然起源的国家级公益林和地方公益</w:t>
      </w:r>
      <w:r>
        <w:rPr>
          <w:rFonts w:ascii="仿宋" w:hAnsi="仿宋" w:eastAsia="仿宋" w:cs="仿宋"/>
          <w:spacing w:val="6"/>
          <w:sz w:val="29"/>
          <w:szCs w:val="29"/>
        </w:rPr>
        <w:t>林</w:t>
      </w:r>
      <w:r>
        <w:rPr>
          <w:rFonts w:ascii="仿宋" w:hAnsi="仿宋" w:eastAsia="仿宋" w:cs="仿宋"/>
          <w:spacing w:val="7"/>
          <w:sz w:val="29"/>
          <w:szCs w:val="29"/>
        </w:rPr>
        <w:t>纳入规</w:t>
      </w:r>
      <w:r>
        <w:rPr>
          <w:rFonts w:ascii="仿宋" w:hAnsi="仿宋" w:eastAsia="仿宋" w:cs="仿宋"/>
          <w:spacing w:val="12"/>
          <w:sz w:val="29"/>
          <w:szCs w:val="29"/>
        </w:rPr>
        <w:t>划范围，实行天然林保护与公益林管理并轨，实施一体化保</w:t>
      </w:r>
      <w:r>
        <w:rPr>
          <w:rFonts w:ascii="仿宋" w:hAnsi="仿宋" w:eastAsia="仿宋" w:cs="仿宋"/>
          <w:spacing w:val="11"/>
          <w:sz w:val="29"/>
          <w:szCs w:val="29"/>
        </w:rPr>
        <w:t>护</w:t>
      </w:r>
      <w:r>
        <w:rPr>
          <w:rFonts w:hint="eastAsia" w:ascii="仿宋" w:hAnsi="仿宋" w:eastAsia="仿宋" w:cs="仿宋"/>
          <w:spacing w:val="11"/>
          <w:sz w:val="29"/>
          <w:szCs w:val="29"/>
          <w:lang w:val="en-US" w:eastAsia="zh-CN"/>
        </w:rPr>
        <w:t>。</w:t>
      </w:r>
    </w:p>
    <w:p>
      <w:pPr>
        <w:pStyle w:val="2"/>
        <w:autoSpaceDE/>
        <w:autoSpaceDN/>
        <w:spacing w:line="530" w:lineRule="exact"/>
        <w:ind w:firstLine="586" w:firstLineChars="200"/>
        <w:jc w:val="both"/>
        <w:rPr>
          <w:rFonts w:hint="eastAsia" w:ascii="宋体" w:hAnsi="宋体" w:eastAsia="方正仿宋_GBK" w:cs="方正仿宋_GBK"/>
          <w:color w:val="auto"/>
          <w:spacing w:val="6"/>
          <w:sz w:val="28"/>
          <w:szCs w:val="28"/>
          <w:highlight w:val="none"/>
          <w:lang w:eastAsia="zh-CN"/>
        </w:rPr>
      </w:pPr>
      <w:r>
        <w:rPr>
          <w:rFonts w:hint="eastAsia" w:ascii="宋体" w:hAnsi="宋体" w:eastAsia="方正仿宋_GBK" w:cs="方正仿宋_GBK"/>
          <w:b/>
          <w:bCs/>
          <w:color w:val="auto"/>
          <w:spacing w:val="6"/>
          <w:sz w:val="28"/>
          <w:szCs w:val="28"/>
          <w:highlight w:val="none"/>
          <w:lang w:val="en-US" w:eastAsia="zh-CN"/>
        </w:rPr>
        <w:t>8</w:t>
      </w:r>
      <w:r>
        <w:rPr>
          <w:rFonts w:hint="eastAsia" w:ascii="宋体" w:hAnsi="宋体" w:eastAsia="方正仿宋_GBK" w:cs="方正仿宋_GBK"/>
          <w:b/>
          <w:bCs/>
          <w:color w:val="auto"/>
          <w:spacing w:val="6"/>
          <w:sz w:val="28"/>
          <w:szCs w:val="28"/>
          <w:highlight w:val="none"/>
          <w:lang w:eastAsia="zh-CN"/>
        </w:rPr>
        <w:t>.天然林重点保护区域：</w:t>
      </w:r>
      <w:r>
        <w:rPr>
          <w:rFonts w:hint="eastAsia" w:ascii="宋体" w:hAnsi="宋体" w:eastAsia="方正仿宋_GBK" w:cs="方正仿宋_GBK"/>
          <w:color w:val="auto"/>
          <w:spacing w:val="6"/>
          <w:sz w:val="28"/>
          <w:szCs w:val="28"/>
          <w:highlight w:val="none"/>
          <w:lang w:eastAsia="zh-CN"/>
        </w:rPr>
        <w:t>依据生态区位重要性、自然恢复能力、物种珍稀性等因素，将位于自然保护地核心保护区、饮用水水源一级保护区并划入国家级公益林的天然林，以及保存完好的原始林，确定为天然林重点保护区域。</w:t>
      </w:r>
    </w:p>
    <w:p>
      <w:pPr>
        <w:pStyle w:val="2"/>
        <w:autoSpaceDE/>
        <w:autoSpaceDN/>
        <w:spacing w:line="530" w:lineRule="exact"/>
        <w:ind w:firstLine="586" w:firstLineChars="200"/>
        <w:jc w:val="both"/>
        <w:rPr>
          <w:rFonts w:hint="eastAsia" w:ascii="宋体" w:hAnsi="宋体" w:cs="方正仿宋_GBK"/>
          <w:color w:val="auto"/>
          <w:spacing w:val="6"/>
          <w:sz w:val="28"/>
          <w:szCs w:val="28"/>
          <w:highlight w:val="none"/>
          <w:lang w:eastAsia="zh-CN"/>
        </w:rPr>
      </w:pPr>
      <w:r>
        <w:rPr>
          <w:rFonts w:hint="eastAsia" w:ascii="宋体" w:hAnsi="宋体" w:eastAsiaTheme="minorEastAsia" w:cstheme="minorEastAsia"/>
          <w:b/>
          <w:bCs/>
          <w:color w:val="auto"/>
          <w:spacing w:val="6"/>
          <w:sz w:val="28"/>
          <w:szCs w:val="28"/>
          <w:highlight w:val="none"/>
          <w:lang w:val="en-US" w:eastAsia="zh-CN"/>
        </w:rPr>
        <w:t>9</w:t>
      </w:r>
      <w:r>
        <w:rPr>
          <w:rFonts w:hint="eastAsia" w:ascii="宋体" w:hAnsi="宋体" w:cs="方正仿宋_GBK"/>
          <w:b/>
          <w:bCs/>
          <w:color w:val="auto"/>
          <w:spacing w:val="6"/>
          <w:sz w:val="28"/>
          <w:szCs w:val="28"/>
          <w:highlight w:val="none"/>
          <w:lang w:eastAsia="zh-CN"/>
        </w:rPr>
        <w:t>.一般保护区域</w:t>
      </w:r>
      <w:r>
        <w:rPr>
          <w:rFonts w:hint="eastAsia" w:ascii="宋体" w:hAnsi="宋体" w:eastAsia="方正仿宋_GBK" w:cs="方正仿宋_GBK"/>
          <w:b/>
          <w:bCs/>
          <w:color w:val="auto"/>
          <w:spacing w:val="6"/>
          <w:sz w:val="28"/>
          <w:szCs w:val="28"/>
          <w:highlight w:val="none"/>
          <w:lang w:eastAsia="zh-CN"/>
        </w:rPr>
        <w:t>：</w:t>
      </w:r>
      <w:r>
        <w:rPr>
          <w:rFonts w:hint="eastAsia" w:ascii="宋体" w:hAnsi="宋体" w:cs="方正仿宋_GBK"/>
          <w:color w:val="auto"/>
          <w:spacing w:val="6"/>
          <w:sz w:val="28"/>
          <w:szCs w:val="28"/>
          <w:highlight w:val="none"/>
          <w:lang w:eastAsia="zh-CN"/>
        </w:rPr>
        <w:t>重点保护区域外的天然林和非天然公益林，为一般保护区域。</w:t>
      </w:r>
    </w:p>
    <w:p>
      <w:pPr>
        <w:widowControl w:val="0"/>
        <w:kinsoku/>
        <w:autoSpaceDE/>
        <w:autoSpaceDN/>
        <w:adjustRightInd/>
        <w:snapToGrid/>
        <w:spacing w:afterLines="100" w:line="578" w:lineRule="exact"/>
        <w:ind w:firstLine="0" w:firstLineChars="0"/>
        <w:jc w:val="both"/>
        <w:textAlignment w:val="auto"/>
        <w:outlineLvl w:val="0"/>
        <w:rPr>
          <w:rFonts w:hint="eastAsia" w:ascii="宋体" w:hAnsi="宋体" w:eastAsia="方正黑体_GBK" w:cs="宋体"/>
          <w:bCs w:val="0"/>
          <w:snapToGrid/>
          <w:color w:val="000000"/>
          <w:spacing w:val="-6"/>
          <w:kern w:val="2"/>
          <w:sz w:val="32"/>
          <w:szCs w:val="32"/>
          <w:lang w:eastAsia="zh-CN"/>
        </w:rPr>
      </w:pPr>
      <w:r>
        <w:rPr>
          <w:rFonts w:hint="eastAsia" w:ascii="宋体" w:hAnsi="宋体" w:eastAsia="方正黑体_GBK" w:cs="宋体"/>
          <w:bCs w:val="0"/>
          <w:snapToGrid/>
          <w:color w:val="000000"/>
          <w:spacing w:val="-6"/>
          <w:kern w:val="2"/>
          <w:sz w:val="32"/>
          <w:szCs w:val="32"/>
          <w:lang w:val="en-US" w:eastAsia="zh-CN"/>
        </w:rPr>
        <w:t>附件2</w:t>
      </w:r>
    </w:p>
    <w:bookmarkEnd w:id="277"/>
    <w:p>
      <w:pPr>
        <w:kinsoku/>
        <w:autoSpaceDE/>
        <w:autoSpaceDN/>
        <w:adjustRightInd/>
        <w:snapToGrid/>
        <w:spacing w:line="700" w:lineRule="exact"/>
        <w:jc w:val="center"/>
        <w:textAlignment w:val="center"/>
        <w:rPr>
          <w:rFonts w:hint="eastAsia" w:ascii="宋体" w:hAnsi="宋体" w:eastAsia="方正小标宋_GBK" w:cs="方正小标宋_GBK"/>
          <w:b w:val="0"/>
          <w:bCs w:val="0"/>
          <w:snapToGrid/>
          <w:spacing w:val="-6"/>
          <w:sz w:val="44"/>
          <w:szCs w:val="44"/>
          <w:lang w:val="en-US" w:eastAsia="zh-CN" w:bidi="ar"/>
        </w:rPr>
      </w:pPr>
      <w:r>
        <w:rPr>
          <w:rFonts w:hint="eastAsia" w:ascii="宋体" w:hAnsi="宋体" w:eastAsia="方正小标宋_GBK" w:cs="方正小标宋_GBK"/>
          <w:b w:val="0"/>
          <w:bCs w:val="0"/>
          <w:snapToGrid/>
          <w:spacing w:val="-6"/>
          <w:sz w:val="44"/>
          <w:szCs w:val="44"/>
          <w:lang w:val="en-US" w:eastAsia="zh-CN" w:bidi="ar"/>
        </w:rPr>
        <w:t>天然林生态修复分区范围表</w:t>
      </w:r>
    </w:p>
    <w:tbl>
      <w:tblPr>
        <w:tblStyle w:val="16"/>
        <w:tblW w:w="9061" w:type="dxa"/>
        <w:jc w:val="center"/>
        <w:tblLayout w:type="autofit"/>
        <w:tblCellMar>
          <w:top w:w="0" w:type="dxa"/>
          <w:left w:w="108" w:type="dxa"/>
          <w:bottom w:w="0" w:type="dxa"/>
          <w:right w:w="108" w:type="dxa"/>
        </w:tblCellMar>
      </w:tblPr>
      <w:tblGrid>
        <w:gridCol w:w="883"/>
        <w:gridCol w:w="1920"/>
        <w:gridCol w:w="5375"/>
        <w:gridCol w:w="883"/>
      </w:tblGrid>
      <w:tr>
        <w:tblPrEx>
          <w:tblCellMar>
            <w:top w:w="0" w:type="dxa"/>
            <w:left w:w="108" w:type="dxa"/>
            <w:bottom w:w="0" w:type="dxa"/>
            <w:right w:w="108" w:type="dxa"/>
          </w:tblCellMar>
        </w:tblPrEx>
        <w:trPr>
          <w:trHeight w:val="0" w:hRule="atLeast"/>
          <w:tblHeader/>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方正黑体_GBK" w:hAnsi="方正黑体_GBK" w:eastAsia="方正黑体_GBK" w:cs="方正黑体_GBK"/>
                <w:b w:val="0"/>
                <w:bCs/>
                <w:color w:val="auto"/>
                <w:sz w:val="24"/>
                <w:szCs w:val="24"/>
                <w:highlight w:val="none"/>
                <w:lang w:val="en-US" w:eastAsia="zh-CN"/>
              </w:rPr>
            </w:pPr>
            <w:r>
              <w:rPr>
                <w:rFonts w:hint="eastAsia" w:ascii="方正黑体_GBK" w:hAnsi="方正黑体_GBK" w:eastAsia="方正黑体_GBK" w:cs="方正黑体_GBK"/>
                <w:b w:val="0"/>
                <w:bCs/>
                <w:color w:val="auto"/>
                <w:sz w:val="24"/>
                <w:szCs w:val="24"/>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方正黑体_GBK" w:hAnsi="方正黑体_GBK" w:eastAsia="方正黑体_GBK" w:cs="方正黑体_GBK"/>
                <w:b w:val="0"/>
                <w:bCs/>
                <w:color w:val="auto"/>
                <w:sz w:val="24"/>
                <w:szCs w:val="24"/>
                <w:highlight w:val="none"/>
              </w:rPr>
            </w:pPr>
            <w:r>
              <w:rPr>
                <w:rFonts w:hint="eastAsia" w:ascii="方正黑体_GBK" w:hAnsi="方正黑体_GBK" w:eastAsia="方正黑体_GBK" w:cs="方正黑体_GBK"/>
                <w:b w:val="0"/>
                <w:bCs/>
                <w:color w:val="auto"/>
                <w:sz w:val="24"/>
                <w:szCs w:val="24"/>
                <w:highlight w:val="none"/>
              </w:rPr>
              <w:t>类型区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方正黑体_GBK" w:hAnsi="方正黑体_GBK" w:eastAsia="方正黑体_GBK" w:cs="方正黑体_GBK"/>
                <w:b w:val="0"/>
                <w:bCs/>
                <w:color w:val="auto"/>
                <w:sz w:val="24"/>
                <w:szCs w:val="24"/>
                <w:highlight w:val="none"/>
              </w:rPr>
            </w:pPr>
            <w:r>
              <w:rPr>
                <w:rFonts w:hint="eastAsia" w:ascii="方正黑体_GBK" w:hAnsi="方正黑体_GBK" w:eastAsia="方正黑体_GBK" w:cs="方正黑体_GBK"/>
                <w:b w:val="0"/>
                <w:bCs/>
                <w:color w:val="auto"/>
                <w:sz w:val="24"/>
                <w:szCs w:val="24"/>
                <w:highlight w:val="none"/>
              </w:rPr>
              <w:t>县（市、区）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方正黑体_GBK" w:hAnsi="方正黑体_GBK" w:eastAsia="方正黑体_GBK" w:cs="方正黑体_GBK"/>
                <w:b w:val="0"/>
                <w:bCs/>
                <w:color w:val="auto"/>
                <w:sz w:val="24"/>
                <w:szCs w:val="24"/>
                <w:highlight w:val="none"/>
                <w:lang w:eastAsia="zh-CN"/>
              </w:rPr>
            </w:pPr>
            <w:r>
              <w:rPr>
                <w:rFonts w:hint="eastAsia" w:ascii="方正黑体_GBK" w:hAnsi="方正黑体_GBK" w:eastAsia="方正黑体_GBK" w:cs="方正黑体_GBK"/>
                <w:b w:val="0"/>
                <w:bCs/>
                <w:color w:val="auto"/>
                <w:sz w:val="24"/>
                <w:szCs w:val="24"/>
                <w:highlight w:val="none"/>
                <w:lang w:val="en-US" w:eastAsia="zh-CN"/>
              </w:rPr>
              <w:t>数量</w:t>
            </w:r>
          </w:p>
        </w:tc>
      </w:tr>
      <w:tr>
        <w:tblPrEx>
          <w:tblCellMar>
            <w:top w:w="0" w:type="dxa"/>
            <w:left w:w="108" w:type="dxa"/>
            <w:bottom w:w="0" w:type="dxa"/>
            <w:right w:w="108" w:type="dxa"/>
          </w:tblCellMar>
        </w:tblPrEx>
        <w:trPr>
          <w:trHeight w:val="0" w:hRule="atLeast"/>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val="en-US" w:eastAsia="zh-CN"/>
              </w:rPr>
            </w:pPr>
            <w:r>
              <w:rPr>
                <w:rFonts w:hint="eastAsia" w:ascii="宋体" w:hAnsi="宋体" w:eastAsia="方正仿宋_GBK" w:cs="宋体"/>
                <w:color w:val="auto"/>
                <w:sz w:val="24"/>
                <w:szCs w:val="24"/>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青藏高原东南缘修复区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left"/>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玉龙县、大理市、漾濞县、巍山县、永平县、云龙县、洱源县、剑川县、泸水市、福贡县、贡山县、兰坪县、香格里拉市、德钦县、维西县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eastAsia="zh-CN"/>
              </w:rPr>
            </w:pPr>
            <w:r>
              <w:rPr>
                <w:rFonts w:hint="eastAsia" w:ascii="宋体" w:hAnsi="宋体" w:eastAsia="方正仿宋_GBK" w:cs="宋体"/>
                <w:color w:val="auto"/>
                <w:sz w:val="24"/>
                <w:szCs w:val="32"/>
                <w:highlight w:val="none"/>
                <w:lang w:eastAsia="zh-CN"/>
              </w:rPr>
              <w:t>15</w:t>
            </w:r>
          </w:p>
        </w:tc>
      </w:tr>
      <w:tr>
        <w:tblPrEx>
          <w:tblCellMar>
            <w:top w:w="0" w:type="dxa"/>
            <w:left w:w="108" w:type="dxa"/>
            <w:bottom w:w="0" w:type="dxa"/>
            <w:right w:w="108" w:type="dxa"/>
          </w:tblCellMar>
        </w:tblPrEx>
        <w:trPr>
          <w:trHeight w:val="0" w:hRule="atLeast"/>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val="en-US" w:eastAsia="zh-CN"/>
              </w:rPr>
            </w:pPr>
            <w:r>
              <w:rPr>
                <w:rFonts w:hint="eastAsia" w:ascii="宋体" w:hAnsi="宋体" w:eastAsia="方正仿宋_GBK" w:cs="宋体"/>
                <w:color w:val="auto"/>
                <w:sz w:val="24"/>
                <w:szCs w:val="24"/>
                <w:highlight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南部边境修复</w:t>
            </w:r>
            <w:r>
              <w:rPr>
                <w:rFonts w:hint="eastAsia" w:ascii="宋体" w:hAnsi="宋体" w:eastAsia="方正仿宋_GBK" w:cs="方正仿宋_GBK"/>
                <w:color w:val="auto"/>
                <w:sz w:val="24"/>
                <w:szCs w:val="24"/>
                <w:highlight w:val="none"/>
              </w:rPr>
              <w:t>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left"/>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隆阳区、施甸县、龙陵县、昌宁县、腾冲市、思茅区、宁洱县、墨江县、景谷县、江城县、孟连县、澜沧县、西盟县、临翔区、凤庆县、云县、永德县、镇康县、双江县、耿马县、沧源县、金平县、绿春县、河口县、景洪市、勐海县、勐腊县、瑞丽市、芒市、梁河县、盈江县、陇川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32"/>
                <w:highlight w:val="none"/>
                <w:lang w:eastAsia="zh-CN"/>
              </w:rPr>
            </w:pPr>
            <w:r>
              <w:rPr>
                <w:rFonts w:hint="eastAsia" w:ascii="宋体" w:hAnsi="宋体" w:eastAsia="方正仿宋_GBK" w:cs="宋体"/>
                <w:color w:val="auto"/>
                <w:kern w:val="2"/>
                <w:sz w:val="24"/>
                <w:szCs w:val="32"/>
                <w:highlight w:val="none"/>
                <w:lang w:eastAsia="zh-CN"/>
              </w:rPr>
              <w:t>32</w:t>
            </w:r>
          </w:p>
        </w:tc>
      </w:tr>
      <w:tr>
        <w:tblPrEx>
          <w:tblCellMar>
            <w:top w:w="0" w:type="dxa"/>
            <w:left w:w="108" w:type="dxa"/>
            <w:bottom w:w="0" w:type="dxa"/>
            <w:right w:w="108" w:type="dxa"/>
          </w:tblCellMar>
        </w:tblPrEx>
        <w:trPr>
          <w:trHeight w:val="0" w:hRule="atLeast"/>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val="en-US" w:eastAsia="zh-CN"/>
              </w:rPr>
            </w:pPr>
            <w:r>
              <w:rPr>
                <w:rFonts w:hint="eastAsia" w:ascii="宋体" w:hAnsi="宋体" w:eastAsia="方正仿宋_GBK" w:cs="宋体"/>
                <w:color w:val="auto"/>
                <w:sz w:val="24"/>
                <w:szCs w:val="24"/>
                <w:highlight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哀牢山无量山修复</w:t>
            </w:r>
            <w:r>
              <w:rPr>
                <w:rFonts w:hint="eastAsia" w:ascii="宋体" w:hAnsi="宋体" w:eastAsia="方正仿宋_GBK" w:cs="方正仿宋_GBK"/>
                <w:color w:val="auto"/>
                <w:sz w:val="24"/>
                <w:szCs w:val="24"/>
                <w:highlight w:val="none"/>
              </w:rPr>
              <w:t>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left"/>
              <w:textAlignment w:val="center"/>
              <w:rPr>
                <w:rFonts w:hint="eastAsia" w:ascii="宋体" w:hAnsi="宋体" w:eastAsia="方正仿宋_GBK" w:cs="方正仿宋_GBK"/>
                <w:color w:val="auto"/>
                <w:sz w:val="24"/>
                <w:szCs w:val="24"/>
                <w:highlight w:val="none"/>
                <w:lang w:eastAsia="zh-CN"/>
              </w:rPr>
            </w:pPr>
            <w:r>
              <w:rPr>
                <w:rFonts w:hint="eastAsia" w:ascii="宋体" w:hAnsi="宋体" w:eastAsia="方正仿宋_GBK" w:cs="方正仿宋_GBK"/>
                <w:color w:val="auto"/>
                <w:sz w:val="24"/>
                <w:szCs w:val="24"/>
                <w:highlight w:val="none"/>
                <w:lang w:eastAsia="zh-CN"/>
              </w:rPr>
              <w:t>易门县、峨山县、新平县、元江县、景东县、镇沅县、楚雄市、禄丰市、双柏县、南华县、元阳县、红河县、弥渡县、南涧县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32"/>
                <w:highlight w:val="none"/>
                <w:lang w:eastAsia="zh-CN"/>
              </w:rPr>
            </w:pPr>
            <w:r>
              <w:rPr>
                <w:rFonts w:hint="eastAsia" w:ascii="宋体" w:hAnsi="宋体" w:eastAsia="方正仿宋_GBK" w:cs="宋体"/>
                <w:color w:val="auto"/>
                <w:kern w:val="2"/>
                <w:sz w:val="24"/>
                <w:szCs w:val="32"/>
                <w:highlight w:val="none"/>
                <w:lang w:eastAsia="zh-CN"/>
              </w:rPr>
              <w:t>14</w:t>
            </w:r>
          </w:p>
        </w:tc>
      </w:tr>
      <w:tr>
        <w:tblPrEx>
          <w:tblCellMar>
            <w:top w:w="0" w:type="dxa"/>
            <w:left w:w="108" w:type="dxa"/>
            <w:bottom w:w="0" w:type="dxa"/>
            <w:right w:w="108" w:type="dxa"/>
          </w:tblCellMar>
        </w:tblPrEx>
        <w:trPr>
          <w:trHeight w:val="0" w:hRule="atLeast"/>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val="en-US" w:eastAsia="zh-CN"/>
              </w:rPr>
            </w:pPr>
            <w:r>
              <w:rPr>
                <w:rFonts w:hint="eastAsia" w:ascii="宋体" w:hAnsi="宋体" w:eastAsia="方正仿宋_GBK" w:cs="宋体"/>
                <w:color w:val="auto"/>
                <w:sz w:val="24"/>
                <w:szCs w:val="24"/>
                <w:highlight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方正仿宋_GBK"/>
                <w:color w:val="auto"/>
                <w:kern w:val="2"/>
                <w:sz w:val="24"/>
                <w:szCs w:val="24"/>
                <w:highlight w:val="none"/>
                <w:lang w:val="en-US" w:eastAsia="zh-CN" w:bidi="ar-SA"/>
              </w:rPr>
            </w:pPr>
            <w:r>
              <w:rPr>
                <w:rFonts w:hint="eastAsia" w:ascii="宋体" w:hAnsi="宋体" w:eastAsia="方正仿宋_GBK" w:cs="方正仿宋_GBK"/>
                <w:color w:val="auto"/>
                <w:sz w:val="24"/>
                <w:szCs w:val="24"/>
                <w:highlight w:val="none"/>
                <w:lang w:eastAsia="zh-CN"/>
              </w:rPr>
              <w:t>金沙江干热河谷修复</w:t>
            </w:r>
            <w:r>
              <w:rPr>
                <w:rFonts w:hint="eastAsia" w:ascii="宋体" w:hAnsi="宋体" w:eastAsia="方正仿宋_GBK" w:cs="方正仿宋_GBK"/>
                <w:color w:val="auto"/>
                <w:sz w:val="24"/>
                <w:szCs w:val="24"/>
                <w:highlight w:val="none"/>
                <w:lang w:val="en-US" w:eastAsia="zh-CN"/>
              </w:rPr>
              <w:t>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left"/>
              <w:textAlignment w:val="center"/>
              <w:rPr>
                <w:rFonts w:hint="eastAsia" w:ascii="宋体" w:hAnsi="宋体" w:eastAsia="方正仿宋_GBK" w:cs="方正仿宋_GBK"/>
                <w:color w:val="auto"/>
                <w:kern w:val="2"/>
                <w:sz w:val="24"/>
                <w:szCs w:val="24"/>
                <w:highlight w:val="none"/>
                <w:lang w:val="en-US" w:eastAsia="zh-CN" w:bidi="ar-SA"/>
              </w:rPr>
            </w:pPr>
            <w:r>
              <w:rPr>
                <w:rFonts w:hint="eastAsia" w:ascii="宋体" w:hAnsi="宋体" w:eastAsia="方正仿宋_GBK" w:cs="方正仿宋_GBK"/>
                <w:color w:val="auto"/>
                <w:sz w:val="24"/>
                <w:szCs w:val="24"/>
                <w:highlight w:val="none"/>
                <w:lang w:eastAsia="zh-CN"/>
              </w:rPr>
              <w:t>东川区、禄劝县、寻甸县、会泽县、昭阳区、鲁甸县、巧家县、盐津县、大关县、永善县、绥江县、镇雄县、彝良县、威信县、水富市、古城区、永胜县、华坪县、宁蒗县、牟定县、姚安县、大姚县、永仁县、元谋县、武定县、祥云县、宾川县、鹤庆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32"/>
                <w:highlight w:val="none"/>
                <w:lang w:eastAsia="zh-CN"/>
              </w:rPr>
            </w:pPr>
            <w:r>
              <w:rPr>
                <w:rFonts w:hint="eastAsia" w:ascii="宋体" w:hAnsi="宋体" w:eastAsia="方正仿宋_GBK" w:cs="宋体"/>
                <w:color w:val="auto"/>
                <w:kern w:val="2"/>
                <w:sz w:val="24"/>
                <w:szCs w:val="32"/>
                <w:highlight w:val="none"/>
                <w:lang w:eastAsia="zh-CN"/>
              </w:rPr>
              <w:t>28</w:t>
            </w:r>
          </w:p>
        </w:tc>
      </w:tr>
      <w:tr>
        <w:tblPrEx>
          <w:tblCellMar>
            <w:top w:w="0" w:type="dxa"/>
            <w:left w:w="108" w:type="dxa"/>
            <w:bottom w:w="0" w:type="dxa"/>
            <w:right w:w="108" w:type="dxa"/>
          </w:tblCellMar>
        </w:tblPrEx>
        <w:trPr>
          <w:trHeight w:val="0" w:hRule="atLeast"/>
          <w:jc w:val="center"/>
        </w:trPr>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24"/>
                <w:highlight w:val="none"/>
                <w:lang w:val="en-US" w:eastAsia="zh-CN"/>
              </w:rPr>
            </w:pPr>
            <w:r>
              <w:rPr>
                <w:rFonts w:hint="eastAsia" w:ascii="宋体" w:hAnsi="宋体" w:eastAsia="方正仿宋_GBK" w:cs="宋体"/>
                <w:color w:val="auto"/>
                <w:sz w:val="24"/>
                <w:szCs w:val="24"/>
                <w:highlight w:val="none"/>
                <w:lang w:val="en-US" w:eastAsia="zh-CN"/>
              </w:rPr>
              <w:t>5</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方正仿宋_GBK"/>
                <w:color w:val="auto"/>
                <w:kern w:val="2"/>
                <w:sz w:val="24"/>
                <w:szCs w:val="24"/>
                <w:highlight w:val="none"/>
                <w:lang w:val="en-US" w:eastAsia="zh-CN" w:bidi="ar-SA"/>
              </w:rPr>
            </w:pPr>
            <w:r>
              <w:rPr>
                <w:rFonts w:hint="eastAsia" w:ascii="宋体" w:hAnsi="宋体" w:eastAsia="方正仿宋_GBK" w:cs="方正仿宋_GBK"/>
                <w:color w:val="auto"/>
                <w:sz w:val="24"/>
                <w:szCs w:val="24"/>
                <w:highlight w:val="none"/>
                <w:lang w:eastAsia="zh-CN"/>
              </w:rPr>
              <w:t>滇东滇东南石漠化修复</w:t>
            </w:r>
            <w:r>
              <w:rPr>
                <w:rFonts w:hint="eastAsia" w:ascii="宋体" w:hAnsi="宋体" w:eastAsia="方正仿宋_GBK" w:cs="方正仿宋_GBK"/>
                <w:color w:val="auto"/>
                <w:sz w:val="24"/>
                <w:szCs w:val="24"/>
                <w:highlight w:val="none"/>
                <w:lang w:val="en-US" w:eastAsia="zh-CN"/>
              </w:rPr>
              <w:t>区</w:t>
            </w:r>
          </w:p>
        </w:tc>
        <w:tc>
          <w:tcPr>
            <w:tcW w:w="537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left"/>
              <w:textAlignment w:val="center"/>
              <w:rPr>
                <w:rFonts w:hint="eastAsia" w:ascii="宋体" w:hAnsi="宋体" w:eastAsia="方正仿宋_GBK" w:cs="方正仿宋_GBK"/>
                <w:color w:val="auto"/>
                <w:kern w:val="2"/>
                <w:sz w:val="24"/>
                <w:szCs w:val="24"/>
                <w:highlight w:val="none"/>
                <w:lang w:val="en-US" w:eastAsia="zh-CN" w:bidi="ar-SA"/>
              </w:rPr>
            </w:pPr>
            <w:r>
              <w:rPr>
                <w:rFonts w:hint="eastAsia" w:ascii="宋体" w:hAnsi="宋体" w:eastAsia="方正仿宋_GBK" w:cs="方正仿宋_GBK"/>
                <w:color w:val="auto"/>
                <w:sz w:val="24"/>
                <w:szCs w:val="24"/>
                <w:highlight w:val="none"/>
                <w:lang w:eastAsia="zh-CN"/>
              </w:rPr>
              <w:t>五华区、盘龙区、官渡区、西山区、呈贡区、晋宁区、富民县、宜良县、石林县、嵩明县、安宁市、麒麟区、沾益区、马龙区、陆良县、师宗县、罗平县、富源县、宣威市、红塔区、江川区、通海县、华宁县、澄江市、个旧市、开远市、蒙自市、弥勒市、屏边县、建水县、石屏县、泸西县、文山市、砚山县、西畴县、麻栗坡县、马关县、丘北县、广南县、富宁县</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left="0" w:leftChars="0" w:right="0" w:rightChars="0" w:firstLine="0" w:firstLineChars="0"/>
              <w:jc w:val="center"/>
              <w:textAlignment w:val="center"/>
              <w:rPr>
                <w:rFonts w:hint="eastAsia" w:ascii="宋体" w:hAnsi="宋体" w:eastAsia="方正仿宋_GBK" w:cs="宋体"/>
                <w:color w:val="auto"/>
                <w:sz w:val="24"/>
                <w:szCs w:val="32"/>
                <w:highlight w:val="none"/>
                <w:lang w:val="en-US" w:eastAsia="zh-CN"/>
              </w:rPr>
            </w:pPr>
            <w:r>
              <w:rPr>
                <w:rFonts w:hint="eastAsia" w:ascii="宋体" w:hAnsi="宋体" w:eastAsia="方正仿宋_GBK" w:cs="宋体"/>
                <w:color w:val="auto"/>
                <w:sz w:val="24"/>
                <w:szCs w:val="32"/>
                <w:highlight w:val="none"/>
                <w:lang w:val="en-US" w:eastAsia="zh-CN"/>
              </w:rPr>
              <w:t>40</w:t>
            </w:r>
          </w:p>
        </w:tc>
      </w:tr>
    </w:tbl>
    <w:p>
      <w:pPr>
        <w:rPr>
          <w:rFonts w:hint="default" w:ascii="宋体" w:hAnsi="宋体"/>
          <w:lang w:val="en-US" w:eastAsia="zh-CN"/>
        </w:rPr>
      </w:pPr>
    </w:p>
    <w:p>
      <w:pPr>
        <w:kinsoku/>
        <w:autoSpaceDE/>
        <w:autoSpaceDN/>
        <w:adjustRightInd/>
        <w:snapToGrid/>
        <w:spacing w:afterLines="-2147483648" w:line="240" w:lineRule="auto"/>
        <w:textAlignment w:val="auto"/>
        <w:outlineLvl w:val="9"/>
        <w:rPr>
          <w:rFonts w:hint="eastAsia" w:ascii="宋体" w:hAnsi="宋体" w:eastAsia="方正仿宋_GBK" w:cs="方正仿宋_GBK"/>
          <w:color w:val="auto"/>
          <w:sz w:val="28"/>
          <w:szCs w:val="28"/>
          <w:highlight w:val="none"/>
          <w:lang w:val="en-US" w:eastAsia="zh-CN"/>
        </w:rPr>
      </w:pPr>
    </w:p>
    <w:sectPr>
      <w:footerReference r:id="rId3" w:type="default"/>
      <w:pgSz w:w="11906" w:h="16838"/>
      <w:pgMar w:top="2098" w:right="1474" w:bottom="1984" w:left="1587" w:header="1134" w:footer="1134" w:gutter="0"/>
      <w:pgBorders>
        <w:top w:val="none" w:sz="0" w:space="0"/>
        <w:left w:val="none" w:sz="0" w:space="0"/>
        <w:bottom w:val="none" w:sz="0" w:space="0"/>
        <w:right w:val="none" w:sz="0" w:space="0"/>
      </w:pgBorders>
      <w:pgNumType w:fmt="decimal"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264"/>
        <w:tab w:val="clear" w:pos="4153"/>
      </w:tabs>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3C3141"/>
    <w:multiLevelType w:val="multilevel"/>
    <w:tmpl w:val="893C3141"/>
    <w:lvl w:ilvl="0" w:tentative="0">
      <w:start w:val="1"/>
      <w:numFmt w:val="decimal"/>
      <w:suff w:val="nothing"/>
      <w:lvlText w:val="%1　"/>
      <w:lvlJc w:val="left"/>
      <w:pPr>
        <w:ind w:left="0" w:firstLine="0"/>
      </w:pPr>
      <w:rPr>
        <w:rFonts w:hint="default" w:ascii="黑体" w:hAnsi="黑体" w:eastAsia="黑体" w:cs="黑体"/>
        <w:sz w:val="20"/>
      </w:rPr>
    </w:lvl>
    <w:lvl w:ilvl="1" w:tentative="0">
      <w:start w:val="1"/>
      <w:numFmt w:val="decimal"/>
      <w:suff w:val="nothing"/>
      <w:lvlText w:val="%1.%2　"/>
      <w:lvlJc w:val="left"/>
      <w:pPr>
        <w:ind w:left="0" w:firstLine="0"/>
      </w:pPr>
      <w:rPr>
        <w:rFonts w:hint="default" w:ascii="黑体" w:hAnsi="黑体" w:eastAsia="黑体" w:cs="黑体"/>
        <w:sz w:val="20"/>
      </w:rPr>
    </w:lvl>
    <w:lvl w:ilvl="2" w:tentative="0">
      <w:start w:val="1"/>
      <w:numFmt w:val="decimal"/>
      <w:pStyle w:val="38"/>
      <w:suff w:val="nothing"/>
      <w:lvlText w:val="%1.%2.%3　"/>
      <w:lvlJc w:val="left"/>
      <w:pPr>
        <w:tabs>
          <w:tab w:val="left" w:pos="0"/>
        </w:tabs>
        <w:ind w:left="0" w:firstLine="0"/>
      </w:pPr>
      <w:rPr>
        <w:rFonts w:hint="default" w:ascii="黑体" w:hAnsi="黑体" w:eastAsia="黑体" w:cs="黑体"/>
        <w:sz w:val="20"/>
      </w:rPr>
    </w:lvl>
    <w:lvl w:ilvl="3" w:tentative="0">
      <w:start w:val="1"/>
      <w:numFmt w:val="decimal"/>
      <w:suff w:val="nothing"/>
      <w:lvlText w:val="%1.%2.%3.%4　"/>
      <w:lvlJc w:val="left"/>
      <w:pPr>
        <w:ind w:left="0" w:firstLine="0"/>
      </w:pPr>
      <w:rPr>
        <w:rFonts w:hint="default" w:ascii="黑体" w:hAnsi="黑体" w:eastAsia="黑体" w:cs="黑体"/>
        <w:sz w:val="20"/>
      </w:rPr>
    </w:lvl>
    <w:lvl w:ilvl="4" w:tentative="0">
      <w:start w:val="1"/>
      <w:numFmt w:val="decimal"/>
      <w:suff w:val="nothing"/>
      <w:lvlText w:val="%1.%2.%3.%4.%5　"/>
      <w:lvlJc w:val="left"/>
      <w:pPr>
        <w:ind w:left="0" w:firstLine="0"/>
      </w:pPr>
      <w:rPr>
        <w:rFonts w:hint="default" w:ascii="黑体" w:hAnsi="黑体" w:eastAsia="黑体" w:cs="黑体"/>
        <w:sz w:val="20"/>
      </w:rPr>
    </w:lvl>
    <w:lvl w:ilvl="5" w:tentative="0">
      <w:start w:val="1"/>
      <w:numFmt w:val="decimal"/>
      <w:suff w:val="nothing"/>
      <w:lvlText w:val="%1.%2.%3.%4.%5.%6　"/>
      <w:lvlJc w:val="left"/>
      <w:pPr>
        <w:ind w:left="0" w:firstLine="0"/>
      </w:pPr>
      <w:rPr>
        <w:rFonts w:hint="default" w:ascii="黑体" w:hAnsi="黑体" w:eastAsia="黑体" w:cs="黑体"/>
        <w:sz w:val="20"/>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1FC91163"/>
    <w:multiLevelType w:val="multilevel"/>
    <w:tmpl w:val="1FC91163"/>
    <w:lvl w:ilvl="0" w:tentative="0">
      <w:start w:val="1"/>
      <w:numFmt w:val="decimal"/>
      <w:suff w:val="nothing"/>
      <w:lvlText w:val="%1　"/>
      <w:lvlJc w:val="left"/>
      <w:pPr>
        <w:ind w:left="0" w:firstLine="0"/>
      </w:pPr>
      <w:rPr>
        <w:rFonts w:hint="default" w:ascii="Times New Roman" w:hAnsi="Times New Roman" w:eastAsia="黑体" w:cs="Times New Roman"/>
        <w:b w:val="0"/>
        <w:i w:val="0"/>
        <w:sz w:val="32"/>
        <w:szCs w:val="32"/>
      </w:rPr>
    </w:lvl>
    <w:lvl w:ilvl="1" w:tentative="0">
      <w:start w:val="1"/>
      <w:numFmt w:val="decimal"/>
      <w:pStyle w:val="35"/>
      <w:suff w:val="nothing"/>
      <w:lvlText w:val="%1.%2　"/>
      <w:lvlJc w:val="left"/>
      <w:pPr>
        <w:ind w:left="0" w:firstLine="0"/>
      </w:pPr>
      <w:rPr>
        <w:rFonts w:hint="default" w:ascii="Times New Roman" w:hAnsi="Times New Roman" w:eastAsia="黑体" w:cs="Times New Roman"/>
        <w:b w:val="0"/>
        <w:bCs w:val="0"/>
        <w:i w:val="0"/>
        <w:iCs w:val="0"/>
        <w:caps w:val="0"/>
        <w:strike w:val="0"/>
        <w:dstrike w:val="0"/>
        <w:vanish w:val="0"/>
        <w:spacing w:val="0"/>
        <w:kern w:val="0"/>
        <w:position w:val="0"/>
        <w:sz w:val="32"/>
        <w:szCs w:val="32"/>
        <w:u w:val="none"/>
        <w:vertAlign w:val="baseline"/>
      </w:rPr>
    </w:lvl>
    <w:lvl w:ilvl="2" w:tentative="0">
      <w:start w:val="1"/>
      <w:numFmt w:val="decimal"/>
      <w:pStyle w:val="34"/>
      <w:suff w:val="nothing"/>
      <w:lvlText w:val="%1.%2.%3　"/>
      <w:lvlJc w:val="left"/>
      <w:pPr>
        <w:ind w:left="0" w:firstLine="0"/>
      </w:pPr>
      <w:rPr>
        <w:rFonts w:hint="default" w:ascii="Times New Roman" w:hAnsi="Times New Roman" w:eastAsia="黑体" w:cs="Times New Roman"/>
        <w:b w:val="0"/>
        <w:i w:val="0"/>
        <w:sz w:val="32"/>
        <w:szCs w:val="32"/>
      </w:rPr>
    </w:lvl>
    <w:lvl w:ilvl="3" w:tentative="0">
      <w:start w:val="1"/>
      <w:numFmt w:val="decimal"/>
      <w:suff w:val="nothing"/>
      <w:lvlText w:val="%1.%2.%3.%4　"/>
      <w:lvlJc w:val="left"/>
      <w:pPr>
        <w:ind w:left="0" w:firstLine="0"/>
      </w:pPr>
      <w:rPr>
        <w:rFonts w:hint="default" w:ascii="Times New Roman" w:hAnsi="Times New Roman" w:eastAsia="黑体" w:cs="Times New Roman"/>
        <w:b w:val="0"/>
        <w:i w:val="0"/>
        <w:sz w:val="32"/>
        <w:szCs w:val="32"/>
      </w:rPr>
    </w:lvl>
    <w:lvl w:ilvl="4" w:tentative="0">
      <w:start w:val="1"/>
      <w:numFmt w:val="decimal"/>
      <w:suff w:val="nothing"/>
      <w:lvlText w:val="%1.%2.%3.%4.%5　"/>
      <w:lvlJc w:val="left"/>
      <w:pPr>
        <w:ind w:left="0" w:firstLine="0"/>
      </w:pPr>
      <w:rPr>
        <w:rFonts w:hint="default" w:ascii="Times New Roman" w:hAnsi="Times New Roman" w:eastAsia="黑体" w:cs="Times New Roman"/>
        <w:b w:val="0"/>
        <w:i w:val="0"/>
        <w:sz w:val="32"/>
        <w:szCs w:val="32"/>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657D3FBC"/>
    <w:multiLevelType w:val="multilevel"/>
    <w:tmpl w:val="657D3FBC"/>
    <w:lvl w:ilvl="0" w:tentative="0">
      <w:start w:val="1"/>
      <w:numFmt w:val="upperLetter"/>
      <w:pStyle w:val="4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jNjA5NjEyN2IxZjlkMmJhYzhiNTdiOTRiZDBlNGMifQ=="/>
  </w:docVars>
  <w:rsids>
    <w:rsidRoot w:val="17250DF7"/>
    <w:rsid w:val="00037A4B"/>
    <w:rsid w:val="00124419"/>
    <w:rsid w:val="00245F76"/>
    <w:rsid w:val="003644A7"/>
    <w:rsid w:val="003A4FA8"/>
    <w:rsid w:val="004C3B8D"/>
    <w:rsid w:val="005C4D2E"/>
    <w:rsid w:val="005F74CA"/>
    <w:rsid w:val="0060035E"/>
    <w:rsid w:val="007C0F2D"/>
    <w:rsid w:val="007E2EF7"/>
    <w:rsid w:val="0086204F"/>
    <w:rsid w:val="00977B14"/>
    <w:rsid w:val="00A337AF"/>
    <w:rsid w:val="00B2647F"/>
    <w:rsid w:val="00BC6C1B"/>
    <w:rsid w:val="00CA192A"/>
    <w:rsid w:val="00D060C0"/>
    <w:rsid w:val="00D479B0"/>
    <w:rsid w:val="00D87831"/>
    <w:rsid w:val="00E46AD2"/>
    <w:rsid w:val="00ED3615"/>
    <w:rsid w:val="00FA027F"/>
    <w:rsid w:val="010740BD"/>
    <w:rsid w:val="013169B2"/>
    <w:rsid w:val="01415CD2"/>
    <w:rsid w:val="01453286"/>
    <w:rsid w:val="016827A4"/>
    <w:rsid w:val="0179137A"/>
    <w:rsid w:val="01877B89"/>
    <w:rsid w:val="01B63C84"/>
    <w:rsid w:val="01BB5A85"/>
    <w:rsid w:val="01DD1E9F"/>
    <w:rsid w:val="01F7008D"/>
    <w:rsid w:val="01F82835"/>
    <w:rsid w:val="020F1F61"/>
    <w:rsid w:val="02156CB2"/>
    <w:rsid w:val="022F615B"/>
    <w:rsid w:val="025554F5"/>
    <w:rsid w:val="025A118D"/>
    <w:rsid w:val="025D6B3C"/>
    <w:rsid w:val="026020F9"/>
    <w:rsid w:val="029B013A"/>
    <w:rsid w:val="02B03837"/>
    <w:rsid w:val="02C848FD"/>
    <w:rsid w:val="02D36DFE"/>
    <w:rsid w:val="031B3BF5"/>
    <w:rsid w:val="03555B48"/>
    <w:rsid w:val="038C4CEA"/>
    <w:rsid w:val="03B804CE"/>
    <w:rsid w:val="03C9236D"/>
    <w:rsid w:val="03CC3F79"/>
    <w:rsid w:val="03F31506"/>
    <w:rsid w:val="04262B1C"/>
    <w:rsid w:val="045B45C7"/>
    <w:rsid w:val="045D276B"/>
    <w:rsid w:val="046E4D76"/>
    <w:rsid w:val="04861FB7"/>
    <w:rsid w:val="049E022C"/>
    <w:rsid w:val="04C74740"/>
    <w:rsid w:val="04CD56ED"/>
    <w:rsid w:val="04E12A7D"/>
    <w:rsid w:val="04F91D3A"/>
    <w:rsid w:val="04FC293F"/>
    <w:rsid w:val="04FE63B4"/>
    <w:rsid w:val="05584A76"/>
    <w:rsid w:val="057C4813"/>
    <w:rsid w:val="05814B7A"/>
    <w:rsid w:val="05C313AC"/>
    <w:rsid w:val="05EA06E6"/>
    <w:rsid w:val="05F12BD1"/>
    <w:rsid w:val="06045470"/>
    <w:rsid w:val="06294257"/>
    <w:rsid w:val="063F6C84"/>
    <w:rsid w:val="06545198"/>
    <w:rsid w:val="065C072B"/>
    <w:rsid w:val="069C40D7"/>
    <w:rsid w:val="069D1BFD"/>
    <w:rsid w:val="06B153B5"/>
    <w:rsid w:val="06C675DB"/>
    <w:rsid w:val="06E100D6"/>
    <w:rsid w:val="06F4439A"/>
    <w:rsid w:val="06F772FB"/>
    <w:rsid w:val="073700E5"/>
    <w:rsid w:val="073A569E"/>
    <w:rsid w:val="07573858"/>
    <w:rsid w:val="075B3E11"/>
    <w:rsid w:val="07887443"/>
    <w:rsid w:val="07991B4A"/>
    <w:rsid w:val="07DB0650"/>
    <w:rsid w:val="07DC326E"/>
    <w:rsid w:val="07F5179D"/>
    <w:rsid w:val="080D68CB"/>
    <w:rsid w:val="08124604"/>
    <w:rsid w:val="081F5E64"/>
    <w:rsid w:val="085D0370"/>
    <w:rsid w:val="085D67A8"/>
    <w:rsid w:val="085F4395"/>
    <w:rsid w:val="08601134"/>
    <w:rsid w:val="086476E6"/>
    <w:rsid w:val="08667F8C"/>
    <w:rsid w:val="08B37173"/>
    <w:rsid w:val="08BA4687"/>
    <w:rsid w:val="08BE4178"/>
    <w:rsid w:val="08C314CF"/>
    <w:rsid w:val="08C77405"/>
    <w:rsid w:val="08F064D9"/>
    <w:rsid w:val="08F369A6"/>
    <w:rsid w:val="09000221"/>
    <w:rsid w:val="090B10A0"/>
    <w:rsid w:val="090B34E3"/>
    <w:rsid w:val="09305C93"/>
    <w:rsid w:val="09565DF3"/>
    <w:rsid w:val="095742E5"/>
    <w:rsid w:val="098E5979"/>
    <w:rsid w:val="09AD03A9"/>
    <w:rsid w:val="09DA6CC4"/>
    <w:rsid w:val="09E831DA"/>
    <w:rsid w:val="09F01C8C"/>
    <w:rsid w:val="09F96698"/>
    <w:rsid w:val="0A014251"/>
    <w:rsid w:val="0A165F4E"/>
    <w:rsid w:val="0A794981"/>
    <w:rsid w:val="0AA41C34"/>
    <w:rsid w:val="0AB0229D"/>
    <w:rsid w:val="0ABD7454"/>
    <w:rsid w:val="0AED712B"/>
    <w:rsid w:val="0AEE7875"/>
    <w:rsid w:val="0B10159B"/>
    <w:rsid w:val="0B547E9C"/>
    <w:rsid w:val="0B5D195B"/>
    <w:rsid w:val="0B6874E1"/>
    <w:rsid w:val="0B733189"/>
    <w:rsid w:val="0B886F98"/>
    <w:rsid w:val="0BA15A91"/>
    <w:rsid w:val="0BAD536B"/>
    <w:rsid w:val="0BC65752"/>
    <w:rsid w:val="0BCB58AC"/>
    <w:rsid w:val="0BD848FB"/>
    <w:rsid w:val="0C11092D"/>
    <w:rsid w:val="0C1B6A42"/>
    <w:rsid w:val="0C2348CD"/>
    <w:rsid w:val="0C5615D1"/>
    <w:rsid w:val="0C5625F1"/>
    <w:rsid w:val="0C737A6F"/>
    <w:rsid w:val="0C873133"/>
    <w:rsid w:val="0C88414E"/>
    <w:rsid w:val="0CD2268A"/>
    <w:rsid w:val="0CD236B4"/>
    <w:rsid w:val="0CDA7707"/>
    <w:rsid w:val="0D000992"/>
    <w:rsid w:val="0D1B09E0"/>
    <w:rsid w:val="0D236091"/>
    <w:rsid w:val="0D3E27AA"/>
    <w:rsid w:val="0D4A6232"/>
    <w:rsid w:val="0D6B035F"/>
    <w:rsid w:val="0D752CE1"/>
    <w:rsid w:val="0D841421"/>
    <w:rsid w:val="0DAD0DC8"/>
    <w:rsid w:val="0DD979BE"/>
    <w:rsid w:val="0E0304E4"/>
    <w:rsid w:val="0E05778A"/>
    <w:rsid w:val="0E3B5A87"/>
    <w:rsid w:val="0E572FD9"/>
    <w:rsid w:val="0E5B6625"/>
    <w:rsid w:val="0E6259EA"/>
    <w:rsid w:val="0E770F85"/>
    <w:rsid w:val="0E772D33"/>
    <w:rsid w:val="0E926F4B"/>
    <w:rsid w:val="0EB34DDC"/>
    <w:rsid w:val="0EB35C12"/>
    <w:rsid w:val="0ECF3F9A"/>
    <w:rsid w:val="0F114F36"/>
    <w:rsid w:val="0F1D38DB"/>
    <w:rsid w:val="0F4501B8"/>
    <w:rsid w:val="0F5202BA"/>
    <w:rsid w:val="0F587009"/>
    <w:rsid w:val="0F5B4403"/>
    <w:rsid w:val="0F8C2205"/>
    <w:rsid w:val="0FC823E2"/>
    <w:rsid w:val="0FE91A0F"/>
    <w:rsid w:val="0FEE215C"/>
    <w:rsid w:val="10161BDC"/>
    <w:rsid w:val="104A5ABD"/>
    <w:rsid w:val="104B13D9"/>
    <w:rsid w:val="1070474B"/>
    <w:rsid w:val="107A3BCC"/>
    <w:rsid w:val="10A16E37"/>
    <w:rsid w:val="10AC5FB0"/>
    <w:rsid w:val="110A67E1"/>
    <w:rsid w:val="1112203D"/>
    <w:rsid w:val="11250330"/>
    <w:rsid w:val="113A2836"/>
    <w:rsid w:val="11415E35"/>
    <w:rsid w:val="11563FC0"/>
    <w:rsid w:val="11637F17"/>
    <w:rsid w:val="116F3C27"/>
    <w:rsid w:val="117055D1"/>
    <w:rsid w:val="119C2276"/>
    <w:rsid w:val="12304A60"/>
    <w:rsid w:val="12435D4E"/>
    <w:rsid w:val="12926532"/>
    <w:rsid w:val="129B7938"/>
    <w:rsid w:val="129E11D6"/>
    <w:rsid w:val="12A61E39"/>
    <w:rsid w:val="12B61F29"/>
    <w:rsid w:val="12DA0E4B"/>
    <w:rsid w:val="12E06EF6"/>
    <w:rsid w:val="13082AF4"/>
    <w:rsid w:val="13250FB0"/>
    <w:rsid w:val="13415744"/>
    <w:rsid w:val="13547AE7"/>
    <w:rsid w:val="139B29A9"/>
    <w:rsid w:val="139F4625"/>
    <w:rsid w:val="13AD5891"/>
    <w:rsid w:val="13D70C54"/>
    <w:rsid w:val="13E443A4"/>
    <w:rsid w:val="13ED41C3"/>
    <w:rsid w:val="13ED4AF1"/>
    <w:rsid w:val="14053E90"/>
    <w:rsid w:val="140D3879"/>
    <w:rsid w:val="142C10D4"/>
    <w:rsid w:val="145204CA"/>
    <w:rsid w:val="145E25AB"/>
    <w:rsid w:val="14857B94"/>
    <w:rsid w:val="14877026"/>
    <w:rsid w:val="149C7709"/>
    <w:rsid w:val="14B72441"/>
    <w:rsid w:val="14C71B84"/>
    <w:rsid w:val="14D971FD"/>
    <w:rsid w:val="14E34CA5"/>
    <w:rsid w:val="14E3762E"/>
    <w:rsid w:val="14E91B58"/>
    <w:rsid w:val="14F061AC"/>
    <w:rsid w:val="14F90946"/>
    <w:rsid w:val="1529084D"/>
    <w:rsid w:val="152E0714"/>
    <w:rsid w:val="153059CB"/>
    <w:rsid w:val="1534525F"/>
    <w:rsid w:val="15467D37"/>
    <w:rsid w:val="15597637"/>
    <w:rsid w:val="156A7D37"/>
    <w:rsid w:val="15827CF2"/>
    <w:rsid w:val="15A937FD"/>
    <w:rsid w:val="15B44A53"/>
    <w:rsid w:val="15DE18EA"/>
    <w:rsid w:val="16267464"/>
    <w:rsid w:val="162D33AE"/>
    <w:rsid w:val="16575086"/>
    <w:rsid w:val="1660554E"/>
    <w:rsid w:val="16A40BD0"/>
    <w:rsid w:val="16AE4B4B"/>
    <w:rsid w:val="16CA3F41"/>
    <w:rsid w:val="16F90945"/>
    <w:rsid w:val="17050BE4"/>
    <w:rsid w:val="170F66BD"/>
    <w:rsid w:val="17250DF7"/>
    <w:rsid w:val="174C1201"/>
    <w:rsid w:val="175B585A"/>
    <w:rsid w:val="179256D8"/>
    <w:rsid w:val="17C57E8F"/>
    <w:rsid w:val="17D0140F"/>
    <w:rsid w:val="17DE788F"/>
    <w:rsid w:val="184E0FA9"/>
    <w:rsid w:val="18535479"/>
    <w:rsid w:val="18700F1F"/>
    <w:rsid w:val="18942F6A"/>
    <w:rsid w:val="18A56EE0"/>
    <w:rsid w:val="18B708FC"/>
    <w:rsid w:val="18BC4164"/>
    <w:rsid w:val="190D2E1F"/>
    <w:rsid w:val="191303F1"/>
    <w:rsid w:val="191306DF"/>
    <w:rsid w:val="19143383"/>
    <w:rsid w:val="191E4CF6"/>
    <w:rsid w:val="193C34F7"/>
    <w:rsid w:val="196D29C0"/>
    <w:rsid w:val="19762F09"/>
    <w:rsid w:val="198C3F77"/>
    <w:rsid w:val="19951B16"/>
    <w:rsid w:val="199D50B8"/>
    <w:rsid w:val="199F1B69"/>
    <w:rsid w:val="19D24323"/>
    <w:rsid w:val="19E75211"/>
    <w:rsid w:val="1A0C653C"/>
    <w:rsid w:val="1A11228E"/>
    <w:rsid w:val="1A330456"/>
    <w:rsid w:val="1A3754D0"/>
    <w:rsid w:val="1A6E28A3"/>
    <w:rsid w:val="1A7171D0"/>
    <w:rsid w:val="1A7750CB"/>
    <w:rsid w:val="1A7F47B4"/>
    <w:rsid w:val="1AB20E08"/>
    <w:rsid w:val="1AB772D9"/>
    <w:rsid w:val="1ABC43D2"/>
    <w:rsid w:val="1AD03E69"/>
    <w:rsid w:val="1ADF05DE"/>
    <w:rsid w:val="1AEF14A4"/>
    <w:rsid w:val="1B101BFC"/>
    <w:rsid w:val="1B877235"/>
    <w:rsid w:val="1BF4109B"/>
    <w:rsid w:val="1BF858DE"/>
    <w:rsid w:val="1C2812FB"/>
    <w:rsid w:val="1C3120C8"/>
    <w:rsid w:val="1C365FDC"/>
    <w:rsid w:val="1C534DE0"/>
    <w:rsid w:val="1CA13205"/>
    <w:rsid w:val="1CBD662F"/>
    <w:rsid w:val="1CBE2FD4"/>
    <w:rsid w:val="1CC47A8B"/>
    <w:rsid w:val="1CE205FE"/>
    <w:rsid w:val="1CEC0D90"/>
    <w:rsid w:val="1D035828"/>
    <w:rsid w:val="1D1470D2"/>
    <w:rsid w:val="1D3C3AC6"/>
    <w:rsid w:val="1D3C4D0B"/>
    <w:rsid w:val="1D550375"/>
    <w:rsid w:val="1D6A3C9A"/>
    <w:rsid w:val="1DD65CC8"/>
    <w:rsid w:val="1DE1450B"/>
    <w:rsid w:val="1DEC7C4C"/>
    <w:rsid w:val="1DFD59AA"/>
    <w:rsid w:val="1E162CB3"/>
    <w:rsid w:val="1E2A1DEA"/>
    <w:rsid w:val="1E357D23"/>
    <w:rsid w:val="1E683E95"/>
    <w:rsid w:val="1E7B1B91"/>
    <w:rsid w:val="1E825623"/>
    <w:rsid w:val="1E933BB9"/>
    <w:rsid w:val="1E9C3748"/>
    <w:rsid w:val="1EB36627"/>
    <w:rsid w:val="1EBC3110"/>
    <w:rsid w:val="1EC04CF7"/>
    <w:rsid w:val="1ED6670D"/>
    <w:rsid w:val="1EF5217E"/>
    <w:rsid w:val="1F0E066B"/>
    <w:rsid w:val="1F683A82"/>
    <w:rsid w:val="1F6F6EAE"/>
    <w:rsid w:val="1F75324F"/>
    <w:rsid w:val="1F8B600B"/>
    <w:rsid w:val="1F925C1F"/>
    <w:rsid w:val="1FBC219E"/>
    <w:rsid w:val="1FC274A8"/>
    <w:rsid w:val="1FE3647B"/>
    <w:rsid w:val="1FF16DE9"/>
    <w:rsid w:val="1FFC578E"/>
    <w:rsid w:val="20685E17"/>
    <w:rsid w:val="206D3F96"/>
    <w:rsid w:val="207B2B57"/>
    <w:rsid w:val="20B91DA6"/>
    <w:rsid w:val="20C759E0"/>
    <w:rsid w:val="20CF4C51"/>
    <w:rsid w:val="20D2021A"/>
    <w:rsid w:val="20EF154A"/>
    <w:rsid w:val="20FB77F4"/>
    <w:rsid w:val="20FD356C"/>
    <w:rsid w:val="2116462E"/>
    <w:rsid w:val="21596DDD"/>
    <w:rsid w:val="216D2911"/>
    <w:rsid w:val="21712D3A"/>
    <w:rsid w:val="218433CC"/>
    <w:rsid w:val="218D06BD"/>
    <w:rsid w:val="21A70A44"/>
    <w:rsid w:val="21B445C8"/>
    <w:rsid w:val="21E8421C"/>
    <w:rsid w:val="21F901D7"/>
    <w:rsid w:val="21FC350F"/>
    <w:rsid w:val="21FD4B20"/>
    <w:rsid w:val="22080F88"/>
    <w:rsid w:val="220F7C4A"/>
    <w:rsid w:val="22354A23"/>
    <w:rsid w:val="223C63CB"/>
    <w:rsid w:val="22596EC8"/>
    <w:rsid w:val="225A6B61"/>
    <w:rsid w:val="2270048D"/>
    <w:rsid w:val="22932CCF"/>
    <w:rsid w:val="22D543C7"/>
    <w:rsid w:val="22D93B65"/>
    <w:rsid w:val="22F1348C"/>
    <w:rsid w:val="231266D0"/>
    <w:rsid w:val="23404627"/>
    <w:rsid w:val="23A370EF"/>
    <w:rsid w:val="23A9144A"/>
    <w:rsid w:val="23CA289B"/>
    <w:rsid w:val="23D5257E"/>
    <w:rsid w:val="24212E47"/>
    <w:rsid w:val="24635645"/>
    <w:rsid w:val="24687E03"/>
    <w:rsid w:val="2470532C"/>
    <w:rsid w:val="247343DA"/>
    <w:rsid w:val="24A10AEF"/>
    <w:rsid w:val="24AB32DF"/>
    <w:rsid w:val="24B6415E"/>
    <w:rsid w:val="24E30CCB"/>
    <w:rsid w:val="24F27517"/>
    <w:rsid w:val="251F7F55"/>
    <w:rsid w:val="252A2360"/>
    <w:rsid w:val="255B4D05"/>
    <w:rsid w:val="257227BA"/>
    <w:rsid w:val="258A696B"/>
    <w:rsid w:val="258C4EBE"/>
    <w:rsid w:val="259A01FB"/>
    <w:rsid w:val="259D70CC"/>
    <w:rsid w:val="25A6043E"/>
    <w:rsid w:val="25AC3CF4"/>
    <w:rsid w:val="25BA7C7E"/>
    <w:rsid w:val="25D01507"/>
    <w:rsid w:val="25E371D4"/>
    <w:rsid w:val="25F43B03"/>
    <w:rsid w:val="26021FAC"/>
    <w:rsid w:val="26062EC3"/>
    <w:rsid w:val="26090798"/>
    <w:rsid w:val="261C720A"/>
    <w:rsid w:val="261D5950"/>
    <w:rsid w:val="262116CF"/>
    <w:rsid w:val="262441E7"/>
    <w:rsid w:val="265A102C"/>
    <w:rsid w:val="26B26BA7"/>
    <w:rsid w:val="26BE157C"/>
    <w:rsid w:val="26D251BE"/>
    <w:rsid w:val="26E82587"/>
    <w:rsid w:val="26EA71DA"/>
    <w:rsid w:val="26FA19F3"/>
    <w:rsid w:val="272C6A84"/>
    <w:rsid w:val="27351F07"/>
    <w:rsid w:val="275B52EF"/>
    <w:rsid w:val="275B78FF"/>
    <w:rsid w:val="275D6E72"/>
    <w:rsid w:val="277E2C99"/>
    <w:rsid w:val="278F17C6"/>
    <w:rsid w:val="27A210B0"/>
    <w:rsid w:val="27C70430"/>
    <w:rsid w:val="27C92F10"/>
    <w:rsid w:val="27CA2AF6"/>
    <w:rsid w:val="27DF5779"/>
    <w:rsid w:val="280D5B35"/>
    <w:rsid w:val="287E0B62"/>
    <w:rsid w:val="287E1436"/>
    <w:rsid w:val="28834859"/>
    <w:rsid w:val="28CB0334"/>
    <w:rsid w:val="2907515E"/>
    <w:rsid w:val="291A3EBF"/>
    <w:rsid w:val="291E6775"/>
    <w:rsid w:val="29521C48"/>
    <w:rsid w:val="2956167E"/>
    <w:rsid w:val="29934A6D"/>
    <w:rsid w:val="29B97BE1"/>
    <w:rsid w:val="29C941B3"/>
    <w:rsid w:val="2A067935"/>
    <w:rsid w:val="2A1F4E36"/>
    <w:rsid w:val="2A4711C1"/>
    <w:rsid w:val="2A4B359A"/>
    <w:rsid w:val="2A554419"/>
    <w:rsid w:val="2A561251"/>
    <w:rsid w:val="2A681D8F"/>
    <w:rsid w:val="2A6B7F7B"/>
    <w:rsid w:val="2A983090"/>
    <w:rsid w:val="2A9860B3"/>
    <w:rsid w:val="2AD233E9"/>
    <w:rsid w:val="2AD753D9"/>
    <w:rsid w:val="2AF8368D"/>
    <w:rsid w:val="2B147E30"/>
    <w:rsid w:val="2B1B6DC7"/>
    <w:rsid w:val="2B2362C5"/>
    <w:rsid w:val="2B243DEB"/>
    <w:rsid w:val="2B581BF2"/>
    <w:rsid w:val="2B712262"/>
    <w:rsid w:val="2B742CD9"/>
    <w:rsid w:val="2B84499D"/>
    <w:rsid w:val="2B9037E0"/>
    <w:rsid w:val="2B9B6B7E"/>
    <w:rsid w:val="2BB67139"/>
    <w:rsid w:val="2BC058C2"/>
    <w:rsid w:val="2BF796BB"/>
    <w:rsid w:val="2C387B4E"/>
    <w:rsid w:val="2C736DD8"/>
    <w:rsid w:val="2C8725E0"/>
    <w:rsid w:val="2C873A9B"/>
    <w:rsid w:val="2C91668D"/>
    <w:rsid w:val="2CC27B5B"/>
    <w:rsid w:val="2CCB36A8"/>
    <w:rsid w:val="2CDD07F6"/>
    <w:rsid w:val="2CE37ABA"/>
    <w:rsid w:val="2CE95109"/>
    <w:rsid w:val="2CEF2903"/>
    <w:rsid w:val="2D953DE6"/>
    <w:rsid w:val="2D962D7E"/>
    <w:rsid w:val="2DBE4083"/>
    <w:rsid w:val="2DC01BA9"/>
    <w:rsid w:val="2E02738B"/>
    <w:rsid w:val="2E07092E"/>
    <w:rsid w:val="2E165C6D"/>
    <w:rsid w:val="2E4E2A05"/>
    <w:rsid w:val="2E5F5FBA"/>
    <w:rsid w:val="2E7F7CB6"/>
    <w:rsid w:val="2E8A2558"/>
    <w:rsid w:val="2E8C6155"/>
    <w:rsid w:val="2E8E0C24"/>
    <w:rsid w:val="2E982B26"/>
    <w:rsid w:val="2EAB4607"/>
    <w:rsid w:val="2EC82A84"/>
    <w:rsid w:val="2EEE0998"/>
    <w:rsid w:val="2F073EA0"/>
    <w:rsid w:val="2F1653CE"/>
    <w:rsid w:val="2F1F2401"/>
    <w:rsid w:val="2F2B1BEC"/>
    <w:rsid w:val="2F432A92"/>
    <w:rsid w:val="2F5873CB"/>
    <w:rsid w:val="2F6A1350"/>
    <w:rsid w:val="2F77513E"/>
    <w:rsid w:val="2F8750CA"/>
    <w:rsid w:val="2FB01D49"/>
    <w:rsid w:val="3014442E"/>
    <w:rsid w:val="30422D49"/>
    <w:rsid w:val="305707EF"/>
    <w:rsid w:val="30A21A3A"/>
    <w:rsid w:val="30CE0B53"/>
    <w:rsid w:val="30DD0CC4"/>
    <w:rsid w:val="30F60C44"/>
    <w:rsid w:val="30F8172A"/>
    <w:rsid w:val="313F54DB"/>
    <w:rsid w:val="317532D3"/>
    <w:rsid w:val="3176573F"/>
    <w:rsid w:val="3193471E"/>
    <w:rsid w:val="31A26C82"/>
    <w:rsid w:val="31B47C77"/>
    <w:rsid w:val="31BB7257"/>
    <w:rsid w:val="31C53C32"/>
    <w:rsid w:val="31FB2FAA"/>
    <w:rsid w:val="32715B68"/>
    <w:rsid w:val="32904240"/>
    <w:rsid w:val="329B2608"/>
    <w:rsid w:val="32F109A3"/>
    <w:rsid w:val="32F77D8F"/>
    <w:rsid w:val="32F83B93"/>
    <w:rsid w:val="32FB14B1"/>
    <w:rsid w:val="32FF67A7"/>
    <w:rsid w:val="33095DA0"/>
    <w:rsid w:val="33223A71"/>
    <w:rsid w:val="334B460B"/>
    <w:rsid w:val="33DE2126"/>
    <w:rsid w:val="33F54460"/>
    <w:rsid w:val="34186F7C"/>
    <w:rsid w:val="34255127"/>
    <w:rsid w:val="342A5887"/>
    <w:rsid w:val="34464581"/>
    <w:rsid w:val="344828F8"/>
    <w:rsid w:val="34513BC3"/>
    <w:rsid w:val="3458350D"/>
    <w:rsid w:val="347545A1"/>
    <w:rsid w:val="347A1FAA"/>
    <w:rsid w:val="347E1073"/>
    <w:rsid w:val="348F0527"/>
    <w:rsid w:val="34900D5D"/>
    <w:rsid w:val="34A42225"/>
    <w:rsid w:val="34A724D2"/>
    <w:rsid w:val="34AD0DB1"/>
    <w:rsid w:val="34B764B8"/>
    <w:rsid w:val="34BE44CC"/>
    <w:rsid w:val="34D16910"/>
    <w:rsid w:val="34FE2CD8"/>
    <w:rsid w:val="35061B43"/>
    <w:rsid w:val="35171C35"/>
    <w:rsid w:val="352B0152"/>
    <w:rsid w:val="354051E7"/>
    <w:rsid w:val="354527A3"/>
    <w:rsid w:val="35496928"/>
    <w:rsid w:val="35527407"/>
    <w:rsid w:val="35921B86"/>
    <w:rsid w:val="35B142AB"/>
    <w:rsid w:val="35CB558F"/>
    <w:rsid w:val="35D04275"/>
    <w:rsid w:val="35F45195"/>
    <w:rsid w:val="35F55EFF"/>
    <w:rsid w:val="362829E1"/>
    <w:rsid w:val="362A49AB"/>
    <w:rsid w:val="363B2FE4"/>
    <w:rsid w:val="363D4937"/>
    <w:rsid w:val="36403F9B"/>
    <w:rsid w:val="36653C36"/>
    <w:rsid w:val="36743E79"/>
    <w:rsid w:val="36AC41C0"/>
    <w:rsid w:val="36B10C29"/>
    <w:rsid w:val="36DA0180"/>
    <w:rsid w:val="36DB148C"/>
    <w:rsid w:val="370574AD"/>
    <w:rsid w:val="371371EE"/>
    <w:rsid w:val="371550FB"/>
    <w:rsid w:val="3744753A"/>
    <w:rsid w:val="37676AF2"/>
    <w:rsid w:val="377175A4"/>
    <w:rsid w:val="3774230C"/>
    <w:rsid w:val="37A41BCC"/>
    <w:rsid w:val="37B55791"/>
    <w:rsid w:val="37C75C12"/>
    <w:rsid w:val="37CC28FD"/>
    <w:rsid w:val="380F64A2"/>
    <w:rsid w:val="381C6576"/>
    <w:rsid w:val="38305B7D"/>
    <w:rsid w:val="384E4F52"/>
    <w:rsid w:val="38563836"/>
    <w:rsid w:val="387243E8"/>
    <w:rsid w:val="38883C0B"/>
    <w:rsid w:val="38887767"/>
    <w:rsid w:val="388C54AA"/>
    <w:rsid w:val="38C83236"/>
    <w:rsid w:val="38CE3E51"/>
    <w:rsid w:val="38E63897"/>
    <w:rsid w:val="390531EB"/>
    <w:rsid w:val="39224BC9"/>
    <w:rsid w:val="395A7356"/>
    <w:rsid w:val="39974F0F"/>
    <w:rsid w:val="39DF28E3"/>
    <w:rsid w:val="39FB25CF"/>
    <w:rsid w:val="3A353BF0"/>
    <w:rsid w:val="3A397C14"/>
    <w:rsid w:val="3A3A0F35"/>
    <w:rsid w:val="3A3F2541"/>
    <w:rsid w:val="3A483A04"/>
    <w:rsid w:val="3A4F0AA8"/>
    <w:rsid w:val="3A5019AF"/>
    <w:rsid w:val="3A557B1D"/>
    <w:rsid w:val="3A655FB2"/>
    <w:rsid w:val="3A6868C9"/>
    <w:rsid w:val="3A712BA9"/>
    <w:rsid w:val="3A91588D"/>
    <w:rsid w:val="3A941228"/>
    <w:rsid w:val="3AC4344A"/>
    <w:rsid w:val="3AEA2BEF"/>
    <w:rsid w:val="3B07350D"/>
    <w:rsid w:val="3B357848"/>
    <w:rsid w:val="3B371AD6"/>
    <w:rsid w:val="3B4B47A2"/>
    <w:rsid w:val="3B5B1163"/>
    <w:rsid w:val="3B77172E"/>
    <w:rsid w:val="3B8D4795"/>
    <w:rsid w:val="3B903EBC"/>
    <w:rsid w:val="3B9D6010"/>
    <w:rsid w:val="3BA24FE4"/>
    <w:rsid w:val="3BAA45F3"/>
    <w:rsid w:val="3BEB0739"/>
    <w:rsid w:val="3BF03F4A"/>
    <w:rsid w:val="3BFB8FBD"/>
    <w:rsid w:val="3BFD2C19"/>
    <w:rsid w:val="3BFF55D0"/>
    <w:rsid w:val="3C1447AD"/>
    <w:rsid w:val="3C1E1CA2"/>
    <w:rsid w:val="3C2D6764"/>
    <w:rsid w:val="3C306D0F"/>
    <w:rsid w:val="3C485B8B"/>
    <w:rsid w:val="3CB925E5"/>
    <w:rsid w:val="3CC02904"/>
    <w:rsid w:val="3CEE7D35"/>
    <w:rsid w:val="3D0A6AF5"/>
    <w:rsid w:val="3D145A6E"/>
    <w:rsid w:val="3D424389"/>
    <w:rsid w:val="3D632551"/>
    <w:rsid w:val="3DBA2913"/>
    <w:rsid w:val="3DC131CE"/>
    <w:rsid w:val="3DE6478B"/>
    <w:rsid w:val="3DED2A81"/>
    <w:rsid w:val="3E0F7557"/>
    <w:rsid w:val="3E2717D1"/>
    <w:rsid w:val="3E533AFE"/>
    <w:rsid w:val="3E691DE9"/>
    <w:rsid w:val="3E77780E"/>
    <w:rsid w:val="3E8A5248"/>
    <w:rsid w:val="3EB510FB"/>
    <w:rsid w:val="3ECB4225"/>
    <w:rsid w:val="3EF01E51"/>
    <w:rsid w:val="3F0F473E"/>
    <w:rsid w:val="3F207CCF"/>
    <w:rsid w:val="3F3B34B8"/>
    <w:rsid w:val="3F3E0372"/>
    <w:rsid w:val="3F555389"/>
    <w:rsid w:val="3F5A7F7D"/>
    <w:rsid w:val="3F5C000F"/>
    <w:rsid w:val="3F633569"/>
    <w:rsid w:val="3F692A15"/>
    <w:rsid w:val="3F923BD9"/>
    <w:rsid w:val="3FA71907"/>
    <w:rsid w:val="3FBF5492"/>
    <w:rsid w:val="3FC27A03"/>
    <w:rsid w:val="3FC34AEB"/>
    <w:rsid w:val="3FE854C1"/>
    <w:rsid w:val="40014183"/>
    <w:rsid w:val="4006007D"/>
    <w:rsid w:val="400B5E21"/>
    <w:rsid w:val="40292835"/>
    <w:rsid w:val="402B671B"/>
    <w:rsid w:val="40430F4B"/>
    <w:rsid w:val="405B6EA5"/>
    <w:rsid w:val="40655352"/>
    <w:rsid w:val="409150BB"/>
    <w:rsid w:val="409749EB"/>
    <w:rsid w:val="40B0169D"/>
    <w:rsid w:val="40B806AC"/>
    <w:rsid w:val="40CC53AE"/>
    <w:rsid w:val="40E652BD"/>
    <w:rsid w:val="40F40B72"/>
    <w:rsid w:val="41076EAF"/>
    <w:rsid w:val="41656898"/>
    <w:rsid w:val="41A27AEC"/>
    <w:rsid w:val="41AE7F1F"/>
    <w:rsid w:val="41F235E8"/>
    <w:rsid w:val="420D71AC"/>
    <w:rsid w:val="42670D77"/>
    <w:rsid w:val="426F216C"/>
    <w:rsid w:val="427B21C3"/>
    <w:rsid w:val="42825877"/>
    <w:rsid w:val="42836441"/>
    <w:rsid w:val="42B626EF"/>
    <w:rsid w:val="42F21FE1"/>
    <w:rsid w:val="42F97BDF"/>
    <w:rsid w:val="43123841"/>
    <w:rsid w:val="43246E37"/>
    <w:rsid w:val="43407B62"/>
    <w:rsid w:val="436C6CEB"/>
    <w:rsid w:val="43805655"/>
    <w:rsid w:val="43AF7095"/>
    <w:rsid w:val="43B12982"/>
    <w:rsid w:val="43C3233A"/>
    <w:rsid w:val="44157AF8"/>
    <w:rsid w:val="441C770E"/>
    <w:rsid w:val="444E7AB7"/>
    <w:rsid w:val="445734E5"/>
    <w:rsid w:val="447F1F1D"/>
    <w:rsid w:val="44A40BE2"/>
    <w:rsid w:val="44A95C4F"/>
    <w:rsid w:val="44AB635C"/>
    <w:rsid w:val="450D60DA"/>
    <w:rsid w:val="45167D6C"/>
    <w:rsid w:val="452C6C70"/>
    <w:rsid w:val="452E5288"/>
    <w:rsid w:val="453769DD"/>
    <w:rsid w:val="453E7B2C"/>
    <w:rsid w:val="45451E7F"/>
    <w:rsid w:val="454D7D6F"/>
    <w:rsid w:val="454F1D39"/>
    <w:rsid w:val="455A2B20"/>
    <w:rsid w:val="45633A36"/>
    <w:rsid w:val="45B46040"/>
    <w:rsid w:val="45CF06D9"/>
    <w:rsid w:val="45D9283B"/>
    <w:rsid w:val="46555E6C"/>
    <w:rsid w:val="467B6B5D"/>
    <w:rsid w:val="46831592"/>
    <w:rsid w:val="468562DA"/>
    <w:rsid w:val="46957939"/>
    <w:rsid w:val="46BA7686"/>
    <w:rsid w:val="46C40014"/>
    <w:rsid w:val="471A45C8"/>
    <w:rsid w:val="47290499"/>
    <w:rsid w:val="472E0107"/>
    <w:rsid w:val="47A82BA3"/>
    <w:rsid w:val="47AE2F59"/>
    <w:rsid w:val="47DA3B46"/>
    <w:rsid w:val="483D231C"/>
    <w:rsid w:val="4849371D"/>
    <w:rsid w:val="4867697B"/>
    <w:rsid w:val="48743864"/>
    <w:rsid w:val="489E7D07"/>
    <w:rsid w:val="48D12A65"/>
    <w:rsid w:val="48FE459F"/>
    <w:rsid w:val="493262A3"/>
    <w:rsid w:val="49417BEA"/>
    <w:rsid w:val="494638C5"/>
    <w:rsid w:val="495337DF"/>
    <w:rsid w:val="49680B13"/>
    <w:rsid w:val="49967A7C"/>
    <w:rsid w:val="499E530B"/>
    <w:rsid w:val="49AB41C0"/>
    <w:rsid w:val="49D26F1B"/>
    <w:rsid w:val="49D53E3E"/>
    <w:rsid w:val="49D86292"/>
    <w:rsid w:val="49DB52AD"/>
    <w:rsid w:val="49E656E9"/>
    <w:rsid w:val="49EA64D4"/>
    <w:rsid w:val="49ED57FD"/>
    <w:rsid w:val="49F904C5"/>
    <w:rsid w:val="49FF7F76"/>
    <w:rsid w:val="4A003601"/>
    <w:rsid w:val="4A0C2EDF"/>
    <w:rsid w:val="4A2C1887"/>
    <w:rsid w:val="4A465393"/>
    <w:rsid w:val="4A553777"/>
    <w:rsid w:val="4A600544"/>
    <w:rsid w:val="4A9C3D23"/>
    <w:rsid w:val="4AA0030F"/>
    <w:rsid w:val="4AF14C11"/>
    <w:rsid w:val="4AFB1D53"/>
    <w:rsid w:val="4B26353C"/>
    <w:rsid w:val="4B295E8B"/>
    <w:rsid w:val="4B365A74"/>
    <w:rsid w:val="4B586F69"/>
    <w:rsid w:val="4B8C2CF5"/>
    <w:rsid w:val="4BC4583E"/>
    <w:rsid w:val="4BE63BE7"/>
    <w:rsid w:val="4BF54CBC"/>
    <w:rsid w:val="4C311526"/>
    <w:rsid w:val="4C405A48"/>
    <w:rsid w:val="4C547C35"/>
    <w:rsid w:val="4C552CD0"/>
    <w:rsid w:val="4C667968"/>
    <w:rsid w:val="4C6D6F48"/>
    <w:rsid w:val="4C992313"/>
    <w:rsid w:val="4C9D5A7F"/>
    <w:rsid w:val="4CB26265"/>
    <w:rsid w:val="4D297D0E"/>
    <w:rsid w:val="4D4052E5"/>
    <w:rsid w:val="4D463C1D"/>
    <w:rsid w:val="4D4D1254"/>
    <w:rsid w:val="4D521F28"/>
    <w:rsid w:val="4D5F2E20"/>
    <w:rsid w:val="4DA85272"/>
    <w:rsid w:val="4DC03801"/>
    <w:rsid w:val="4DC56E35"/>
    <w:rsid w:val="4DCC69B2"/>
    <w:rsid w:val="4DCE5621"/>
    <w:rsid w:val="4DEA4CF4"/>
    <w:rsid w:val="4E014357"/>
    <w:rsid w:val="4E2D58E7"/>
    <w:rsid w:val="4E356656"/>
    <w:rsid w:val="4E3B72FE"/>
    <w:rsid w:val="4E4B5067"/>
    <w:rsid w:val="4E4D0DDF"/>
    <w:rsid w:val="4E577E36"/>
    <w:rsid w:val="4E846D5D"/>
    <w:rsid w:val="4EB37081"/>
    <w:rsid w:val="4EC941AE"/>
    <w:rsid w:val="4F02070B"/>
    <w:rsid w:val="4F052872"/>
    <w:rsid w:val="4F073C95"/>
    <w:rsid w:val="4F080832"/>
    <w:rsid w:val="4F3BEE6C"/>
    <w:rsid w:val="4FA56238"/>
    <w:rsid w:val="4FBDF762"/>
    <w:rsid w:val="4FD95B8A"/>
    <w:rsid w:val="4FEA2E49"/>
    <w:rsid w:val="500144C1"/>
    <w:rsid w:val="50016951"/>
    <w:rsid w:val="508A00C9"/>
    <w:rsid w:val="509041B8"/>
    <w:rsid w:val="509C7DFC"/>
    <w:rsid w:val="50B9275C"/>
    <w:rsid w:val="50C80BF1"/>
    <w:rsid w:val="50D06032"/>
    <w:rsid w:val="514F2CC2"/>
    <w:rsid w:val="51622DF4"/>
    <w:rsid w:val="51691247"/>
    <w:rsid w:val="517D5E7F"/>
    <w:rsid w:val="51826FF2"/>
    <w:rsid w:val="51A84704"/>
    <w:rsid w:val="51ADD54F"/>
    <w:rsid w:val="51CC1747"/>
    <w:rsid w:val="51D2775A"/>
    <w:rsid w:val="51DB27D9"/>
    <w:rsid w:val="51E3391E"/>
    <w:rsid w:val="51E528DD"/>
    <w:rsid w:val="52020133"/>
    <w:rsid w:val="520E6AD8"/>
    <w:rsid w:val="520F7AD9"/>
    <w:rsid w:val="52681106"/>
    <w:rsid w:val="526E7576"/>
    <w:rsid w:val="528278EA"/>
    <w:rsid w:val="52A339B6"/>
    <w:rsid w:val="52B8491B"/>
    <w:rsid w:val="52BA0C14"/>
    <w:rsid w:val="52C826B8"/>
    <w:rsid w:val="52D90E94"/>
    <w:rsid w:val="52D94F20"/>
    <w:rsid w:val="52F43F1F"/>
    <w:rsid w:val="52FD36AE"/>
    <w:rsid w:val="5333550F"/>
    <w:rsid w:val="53563DE7"/>
    <w:rsid w:val="537E135F"/>
    <w:rsid w:val="53894668"/>
    <w:rsid w:val="5391332A"/>
    <w:rsid w:val="53C946C6"/>
    <w:rsid w:val="53F8359B"/>
    <w:rsid w:val="543D0332"/>
    <w:rsid w:val="545F27DC"/>
    <w:rsid w:val="549923DB"/>
    <w:rsid w:val="54A97AB6"/>
    <w:rsid w:val="54CC5154"/>
    <w:rsid w:val="54F507E9"/>
    <w:rsid w:val="54FB75CC"/>
    <w:rsid w:val="55376345"/>
    <w:rsid w:val="55614A91"/>
    <w:rsid w:val="5579070C"/>
    <w:rsid w:val="562958E3"/>
    <w:rsid w:val="566A0555"/>
    <w:rsid w:val="56813D1C"/>
    <w:rsid w:val="569A3030"/>
    <w:rsid w:val="56A97826"/>
    <w:rsid w:val="56F44F15"/>
    <w:rsid w:val="570C44CF"/>
    <w:rsid w:val="57245405"/>
    <w:rsid w:val="572E1E1C"/>
    <w:rsid w:val="57405985"/>
    <w:rsid w:val="577218B7"/>
    <w:rsid w:val="579352FE"/>
    <w:rsid w:val="57AD5100"/>
    <w:rsid w:val="57CB6E97"/>
    <w:rsid w:val="57D07320"/>
    <w:rsid w:val="57D50EFF"/>
    <w:rsid w:val="58043325"/>
    <w:rsid w:val="582726A1"/>
    <w:rsid w:val="58354DBE"/>
    <w:rsid w:val="58374E25"/>
    <w:rsid w:val="584667E1"/>
    <w:rsid w:val="58475154"/>
    <w:rsid w:val="58712608"/>
    <w:rsid w:val="588F1522"/>
    <w:rsid w:val="58AF58C1"/>
    <w:rsid w:val="58C064AB"/>
    <w:rsid w:val="591C423C"/>
    <w:rsid w:val="59316A47"/>
    <w:rsid w:val="598B2914"/>
    <w:rsid w:val="59BF7299"/>
    <w:rsid w:val="59C00335"/>
    <w:rsid w:val="59C52172"/>
    <w:rsid w:val="59D7578D"/>
    <w:rsid w:val="59E34028"/>
    <w:rsid w:val="59E74C9B"/>
    <w:rsid w:val="59F73FA9"/>
    <w:rsid w:val="5A0C5FF2"/>
    <w:rsid w:val="5A144354"/>
    <w:rsid w:val="5A1836AC"/>
    <w:rsid w:val="5A2921FA"/>
    <w:rsid w:val="5A6B64E6"/>
    <w:rsid w:val="5A7004B9"/>
    <w:rsid w:val="5A7B0A82"/>
    <w:rsid w:val="5ABB5323"/>
    <w:rsid w:val="5AD812A6"/>
    <w:rsid w:val="5ADC1C9D"/>
    <w:rsid w:val="5AE802F8"/>
    <w:rsid w:val="5AF60D52"/>
    <w:rsid w:val="5B1E422F"/>
    <w:rsid w:val="5B2E2298"/>
    <w:rsid w:val="5B344650"/>
    <w:rsid w:val="5B582173"/>
    <w:rsid w:val="5B8A0B3C"/>
    <w:rsid w:val="5B8B04FA"/>
    <w:rsid w:val="5B9B13DC"/>
    <w:rsid w:val="5BB97AB4"/>
    <w:rsid w:val="5BD23965"/>
    <w:rsid w:val="5BF62AB6"/>
    <w:rsid w:val="5C010D1F"/>
    <w:rsid w:val="5C0401CD"/>
    <w:rsid w:val="5C5872CD"/>
    <w:rsid w:val="5C800B88"/>
    <w:rsid w:val="5C9A7EC7"/>
    <w:rsid w:val="5CD03307"/>
    <w:rsid w:val="5CD3611C"/>
    <w:rsid w:val="5CDF022A"/>
    <w:rsid w:val="5D081B2B"/>
    <w:rsid w:val="5D2000CD"/>
    <w:rsid w:val="5D717D18"/>
    <w:rsid w:val="5D7673E3"/>
    <w:rsid w:val="5D7A166C"/>
    <w:rsid w:val="5D935791"/>
    <w:rsid w:val="5D944335"/>
    <w:rsid w:val="5DC76A50"/>
    <w:rsid w:val="5DD230AF"/>
    <w:rsid w:val="5E2403E9"/>
    <w:rsid w:val="5E37399D"/>
    <w:rsid w:val="5E56783C"/>
    <w:rsid w:val="5E802B0B"/>
    <w:rsid w:val="5EAE61E6"/>
    <w:rsid w:val="5EC37AEA"/>
    <w:rsid w:val="5EEC63F2"/>
    <w:rsid w:val="5EFFC2AA"/>
    <w:rsid w:val="5F775816"/>
    <w:rsid w:val="5F8D1984"/>
    <w:rsid w:val="5FB55633"/>
    <w:rsid w:val="5FC632F2"/>
    <w:rsid w:val="5FD03595"/>
    <w:rsid w:val="60251BBC"/>
    <w:rsid w:val="60631B06"/>
    <w:rsid w:val="6068521B"/>
    <w:rsid w:val="606A24D4"/>
    <w:rsid w:val="60DE4E34"/>
    <w:rsid w:val="60E750C3"/>
    <w:rsid w:val="616964DC"/>
    <w:rsid w:val="616C7377"/>
    <w:rsid w:val="618E4F99"/>
    <w:rsid w:val="61A02E98"/>
    <w:rsid w:val="61B55A7D"/>
    <w:rsid w:val="61BA1859"/>
    <w:rsid w:val="620C2F35"/>
    <w:rsid w:val="62600BCB"/>
    <w:rsid w:val="626A1B08"/>
    <w:rsid w:val="626E3884"/>
    <w:rsid w:val="62A7462F"/>
    <w:rsid w:val="62F77262"/>
    <w:rsid w:val="63047ABC"/>
    <w:rsid w:val="63144531"/>
    <w:rsid w:val="63222E31"/>
    <w:rsid w:val="634F7179"/>
    <w:rsid w:val="637A3FCD"/>
    <w:rsid w:val="638B61DA"/>
    <w:rsid w:val="639808F7"/>
    <w:rsid w:val="63AE1EC8"/>
    <w:rsid w:val="63C2612B"/>
    <w:rsid w:val="63C96A58"/>
    <w:rsid w:val="63CB4828"/>
    <w:rsid w:val="63D74F7B"/>
    <w:rsid w:val="63D75830"/>
    <w:rsid w:val="6404446C"/>
    <w:rsid w:val="64143D46"/>
    <w:rsid w:val="641521DB"/>
    <w:rsid w:val="642911DE"/>
    <w:rsid w:val="643C0EA0"/>
    <w:rsid w:val="647F3171"/>
    <w:rsid w:val="648B23AE"/>
    <w:rsid w:val="64BD7862"/>
    <w:rsid w:val="64D70FAB"/>
    <w:rsid w:val="64D73A5C"/>
    <w:rsid w:val="652B01EF"/>
    <w:rsid w:val="65556AA0"/>
    <w:rsid w:val="655C7328"/>
    <w:rsid w:val="655E1A15"/>
    <w:rsid w:val="656A0436"/>
    <w:rsid w:val="656A3FA8"/>
    <w:rsid w:val="656F1FC4"/>
    <w:rsid w:val="65913889"/>
    <w:rsid w:val="65EC10C6"/>
    <w:rsid w:val="66127C81"/>
    <w:rsid w:val="661C7D04"/>
    <w:rsid w:val="6640481E"/>
    <w:rsid w:val="664F1741"/>
    <w:rsid w:val="665603F0"/>
    <w:rsid w:val="665E35B4"/>
    <w:rsid w:val="666D1928"/>
    <w:rsid w:val="66752D15"/>
    <w:rsid w:val="668F353B"/>
    <w:rsid w:val="66C227CA"/>
    <w:rsid w:val="66C832A1"/>
    <w:rsid w:val="67050051"/>
    <w:rsid w:val="671A3D37"/>
    <w:rsid w:val="67403715"/>
    <w:rsid w:val="674743C8"/>
    <w:rsid w:val="67567C12"/>
    <w:rsid w:val="67570318"/>
    <w:rsid w:val="675A65EF"/>
    <w:rsid w:val="675E5FA5"/>
    <w:rsid w:val="67617536"/>
    <w:rsid w:val="679B4842"/>
    <w:rsid w:val="679E6A5B"/>
    <w:rsid w:val="67A555B6"/>
    <w:rsid w:val="67D87514"/>
    <w:rsid w:val="67E06D9B"/>
    <w:rsid w:val="68051B05"/>
    <w:rsid w:val="68213264"/>
    <w:rsid w:val="683D381B"/>
    <w:rsid w:val="68585FA5"/>
    <w:rsid w:val="688E4077"/>
    <w:rsid w:val="68A23D28"/>
    <w:rsid w:val="68B43796"/>
    <w:rsid w:val="68BC6E36"/>
    <w:rsid w:val="68C5044B"/>
    <w:rsid w:val="68F1153A"/>
    <w:rsid w:val="694035C3"/>
    <w:rsid w:val="69530138"/>
    <w:rsid w:val="69564B94"/>
    <w:rsid w:val="69583ACA"/>
    <w:rsid w:val="6958491C"/>
    <w:rsid w:val="69866736"/>
    <w:rsid w:val="69944193"/>
    <w:rsid w:val="69BD4C13"/>
    <w:rsid w:val="6A7A48B2"/>
    <w:rsid w:val="6B025763"/>
    <w:rsid w:val="6B087FDF"/>
    <w:rsid w:val="6B7E3BAD"/>
    <w:rsid w:val="6B84284F"/>
    <w:rsid w:val="6B8D6867"/>
    <w:rsid w:val="6B915391"/>
    <w:rsid w:val="6BCA684C"/>
    <w:rsid w:val="6BFF5E81"/>
    <w:rsid w:val="6C0C7052"/>
    <w:rsid w:val="6C10291B"/>
    <w:rsid w:val="6C7968E2"/>
    <w:rsid w:val="6CA533DE"/>
    <w:rsid w:val="6CA976D1"/>
    <w:rsid w:val="6CB4286B"/>
    <w:rsid w:val="6CD50C99"/>
    <w:rsid w:val="6CD56718"/>
    <w:rsid w:val="6D082649"/>
    <w:rsid w:val="6D11628A"/>
    <w:rsid w:val="6DAC039A"/>
    <w:rsid w:val="6DC04CD2"/>
    <w:rsid w:val="6DDD3AD6"/>
    <w:rsid w:val="6DEF229A"/>
    <w:rsid w:val="6E1B63AC"/>
    <w:rsid w:val="6E396DF7"/>
    <w:rsid w:val="6E5D4C17"/>
    <w:rsid w:val="6E694933"/>
    <w:rsid w:val="6E7F2DDF"/>
    <w:rsid w:val="6E894068"/>
    <w:rsid w:val="6E9A19C7"/>
    <w:rsid w:val="6EA63EC8"/>
    <w:rsid w:val="6EE3336E"/>
    <w:rsid w:val="6F0931B7"/>
    <w:rsid w:val="6F19157B"/>
    <w:rsid w:val="6F484F7F"/>
    <w:rsid w:val="6F4B7E82"/>
    <w:rsid w:val="6F575913"/>
    <w:rsid w:val="6F9C66F7"/>
    <w:rsid w:val="6FA06B69"/>
    <w:rsid w:val="6FA76133"/>
    <w:rsid w:val="6FBBA020"/>
    <w:rsid w:val="6FC0720B"/>
    <w:rsid w:val="6FD519D2"/>
    <w:rsid w:val="6FFF4BAB"/>
    <w:rsid w:val="7056274C"/>
    <w:rsid w:val="705B5793"/>
    <w:rsid w:val="706F0E96"/>
    <w:rsid w:val="70716758"/>
    <w:rsid w:val="709E6AD1"/>
    <w:rsid w:val="70F7695B"/>
    <w:rsid w:val="7104336B"/>
    <w:rsid w:val="71576A1A"/>
    <w:rsid w:val="71625915"/>
    <w:rsid w:val="71A46283"/>
    <w:rsid w:val="71B6159F"/>
    <w:rsid w:val="71D376CA"/>
    <w:rsid w:val="72391258"/>
    <w:rsid w:val="725E3D8C"/>
    <w:rsid w:val="72653986"/>
    <w:rsid w:val="72717CD1"/>
    <w:rsid w:val="72FB0D2C"/>
    <w:rsid w:val="732857F3"/>
    <w:rsid w:val="732F2FE7"/>
    <w:rsid w:val="73457574"/>
    <w:rsid w:val="734C2EB7"/>
    <w:rsid w:val="7362177B"/>
    <w:rsid w:val="73763CFB"/>
    <w:rsid w:val="73A66A49"/>
    <w:rsid w:val="73B70925"/>
    <w:rsid w:val="73D47729"/>
    <w:rsid w:val="73DE2E5E"/>
    <w:rsid w:val="73E3171A"/>
    <w:rsid w:val="73F751C6"/>
    <w:rsid w:val="74055AE2"/>
    <w:rsid w:val="741C4C2C"/>
    <w:rsid w:val="741F4028"/>
    <w:rsid w:val="74220495"/>
    <w:rsid w:val="74264F74"/>
    <w:rsid w:val="742B3D29"/>
    <w:rsid w:val="74557371"/>
    <w:rsid w:val="745D67ED"/>
    <w:rsid w:val="749B2F16"/>
    <w:rsid w:val="74BD019E"/>
    <w:rsid w:val="74CC0400"/>
    <w:rsid w:val="74CF1F12"/>
    <w:rsid w:val="74FD56BF"/>
    <w:rsid w:val="751B060D"/>
    <w:rsid w:val="751D2AF0"/>
    <w:rsid w:val="751DF16A"/>
    <w:rsid w:val="7544443B"/>
    <w:rsid w:val="757218A1"/>
    <w:rsid w:val="75841B19"/>
    <w:rsid w:val="75B36349"/>
    <w:rsid w:val="75CF01A8"/>
    <w:rsid w:val="75DC6612"/>
    <w:rsid w:val="75EC9443"/>
    <w:rsid w:val="75F13FEF"/>
    <w:rsid w:val="76120095"/>
    <w:rsid w:val="762670FF"/>
    <w:rsid w:val="762F7BBB"/>
    <w:rsid w:val="764B6EC1"/>
    <w:rsid w:val="764D12A6"/>
    <w:rsid w:val="76832520"/>
    <w:rsid w:val="7695E61F"/>
    <w:rsid w:val="76BD3E98"/>
    <w:rsid w:val="76D17F50"/>
    <w:rsid w:val="76EB7264"/>
    <w:rsid w:val="76ED3E42"/>
    <w:rsid w:val="76FD2AF3"/>
    <w:rsid w:val="770E48C2"/>
    <w:rsid w:val="7725204A"/>
    <w:rsid w:val="77281837"/>
    <w:rsid w:val="77471230"/>
    <w:rsid w:val="774E15A1"/>
    <w:rsid w:val="776B1D2A"/>
    <w:rsid w:val="776C1A0A"/>
    <w:rsid w:val="777D1E86"/>
    <w:rsid w:val="777E0C80"/>
    <w:rsid w:val="778E4093"/>
    <w:rsid w:val="77C50816"/>
    <w:rsid w:val="77CE4490"/>
    <w:rsid w:val="78307C29"/>
    <w:rsid w:val="7831003B"/>
    <w:rsid w:val="78335266"/>
    <w:rsid w:val="78711EA5"/>
    <w:rsid w:val="78860A23"/>
    <w:rsid w:val="788A707F"/>
    <w:rsid w:val="78EC7D9C"/>
    <w:rsid w:val="792C16C4"/>
    <w:rsid w:val="793A36E1"/>
    <w:rsid w:val="795F7256"/>
    <w:rsid w:val="7989122B"/>
    <w:rsid w:val="79932382"/>
    <w:rsid w:val="79AA0058"/>
    <w:rsid w:val="79CE69C9"/>
    <w:rsid w:val="79D3299C"/>
    <w:rsid w:val="79E619DA"/>
    <w:rsid w:val="7A09564D"/>
    <w:rsid w:val="7A196674"/>
    <w:rsid w:val="7A450DF3"/>
    <w:rsid w:val="7A6C525F"/>
    <w:rsid w:val="7A7255A6"/>
    <w:rsid w:val="7A765096"/>
    <w:rsid w:val="7AC300CD"/>
    <w:rsid w:val="7AD149C3"/>
    <w:rsid w:val="7AEC5358"/>
    <w:rsid w:val="7AF77C8A"/>
    <w:rsid w:val="7AFD2CD8"/>
    <w:rsid w:val="7B160BE7"/>
    <w:rsid w:val="7B236572"/>
    <w:rsid w:val="7B2C1BF9"/>
    <w:rsid w:val="7B58479C"/>
    <w:rsid w:val="7B5F5B2A"/>
    <w:rsid w:val="7B637A5A"/>
    <w:rsid w:val="7B77189B"/>
    <w:rsid w:val="7BC049B4"/>
    <w:rsid w:val="7BC71922"/>
    <w:rsid w:val="7BEB3862"/>
    <w:rsid w:val="7BECF05B"/>
    <w:rsid w:val="7C076AD2"/>
    <w:rsid w:val="7C0C0492"/>
    <w:rsid w:val="7C122B9D"/>
    <w:rsid w:val="7C5C2B55"/>
    <w:rsid w:val="7C761C73"/>
    <w:rsid w:val="7C976E5A"/>
    <w:rsid w:val="7CD05C51"/>
    <w:rsid w:val="7CD24A22"/>
    <w:rsid w:val="7D1C5482"/>
    <w:rsid w:val="7D1D426C"/>
    <w:rsid w:val="7D301B44"/>
    <w:rsid w:val="7D340CAF"/>
    <w:rsid w:val="7D4274B2"/>
    <w:rsid w:val="7D5E0064"/>
    <w:rsid w:val="7D650960"/>
    <w:rsid w:val="7D6E0510"/>
    <w:rsid w:val="7D6F37B5"/>
    <w:rsid w:val="7D882BD7"/>
    <w:rsid w:val="7D900A89"/>
    <w:rsid w:val="7D951CCF"/>
    <w:rsid w:val="7D9903EE"/>
    <w:rsid w:val="7DC970F5"/>
    <w:rsid w:val="7DD41A0F"/>
    <w:rsid w:val="7DE62533"/>
    <w:rsid w:val="7DFB31BE"/>
    <w:rsid w:val="7E10135E"/>
    <w:rsid w:val="7E1D2408"/>
    <w:rsid w:val="7E3D0D87"/>
    <w:rsid w:val="7E493F66"/>
    <w:rsid w:val="7E607018"/>
    <w:rsid w:val="7E9F2250"/>
    <w:rsid w:val="7E9F7F1C"/>
    <w:rsid w:val="7EEF3669"/>
    <w:rsid w:val="7EFB7561"/>
    <w:rsid w:val="7F62208D"/>
    <w:rsid w:val="7F6332D5"/>
    <w:rsid w:val="7F7B410D"/>
    <w:rsid w:val="7F7D1A46"/>
    <w:rsid w:val="7F820039"/>
    <w:rsid w:val="7FACFAD3"/>
    <w:rsid w:val="7FB36445"/>
    <w:rsid w:val="7FBB3220"/>
    <w:rsid w:val="7FBB933D"/>
    <w:rsid w:val="7FBC6B0F"/>
    <w:rsid w:val="7FC556C0"/>
    <w:rsid w:val="7FCA69B6"/>
    <w:rsid w:val="7FEF14E9"/>
    <w:rsid w:val="7FF2085F"/>
    <w:rsid w:val="7FFD99F7"/>
    <w:rsid w:val="7FFF0FF6"/>
    <w:rsid w:val="931FDF8D"/>
    <w:rsid w:val="B363DC87"/>
    <w:rsid w:val="B3BF0C4C"/>
    <w:rsid w:val="B9F1E977"/>
    <w:rsid w:val="B9F5BC35"/>
    <w:rsid w:val="BEEFD6B9"/>
    <w:rsid w:val="BF698D05"/>
    <w:rsid w:val="BFEE9828"/>
    <w:rsid w:val="C3FB25FD"/>
    <w:rsid w:val="CCFFD5DA"/>
    <w:rsid w:val="D94F67C7"/>
    <w:rsid w:val="DAA5E679"/>
    <w:rsid w:val="DBF776FC"/>
    <w:rsid w:val="DFFBE916"/>
    <w:rsid w:val="E6F762C9"/>
    <w:rsid w:val="E7E1B530"/>
    <w:rsid w:val="EABDB883"/>
    <w:rsid w:val="EFEF0A7A"/>
    <w:rsid w:val="F34F1A79"/>
    <w:rsid w:val="F3FD03B4"/>
    <w:rsid w:val="F99FB97C"/>
    <w:rsid w:val="F9D3882A"/>
    <w:rsid w:val="FB7F6272"/>
    <w:rsid w:val="FD7D0F8D"/>
    <w:rsid w:val="FF6ED5F7"/>
    <w:rsid w:val="FF7B353C"/>
    <w:rsid w:val="FFE7BC11"/>
    <w:rsid w:val="FFF68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宋体" w:hAnsi="宋体" w:eastAsia="方正仿宋_GBK" w:cs="宋体"/>
      <w:snapToGrid w:val="0"/>
      <w:color w:val="000000"/>
      <w:sz w:val="32"/>
      <w:szCs w:val="32"/>
      <w:lang w:val="en-US" w:eastAsia="en-US"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41"/>
    <w:qFormat/>
    <w:uiPriority w:val="0"/>
    <w:pPr>
      <w:keepNext/>
      <w:keepLines/>
      <w:spacing w:before="260" w:after="260" w:line="413" w:lineRule="auto"/>
      <w:outlineLvl w:val="1"/>
    </w:pPr>
    <w:rPr>
      <w:rFonts w:eastAsia="黑体"/>
      <w:b/>
    </w:rPr>
  </w:style>
  <w:style w:type="paragraph" w:styleId="6">
    <w:name w:val="heading 3"/>
    <w:basedOn w:val="1"/>
    <w:next w:val="1"/>
    <w:unhideWhenUsed/>
    <w:qFormat/>
    <w:uiPriority w:val="9"/>
    <w:pPr>
      <w:keepNext/>
      <w:keepLines/>
      <w:spacing w:before="50" w:beforeLines="50" w:after="50" w:afterLines="50"/>
      <w:outlineLvl w:val="2"/>
    </w:pPr>
    <w:rPr>
      <w:rFonts w:eastAsia="黑体"/>
      <w:bCs/>
      <w:sz w:val="3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0"/>
      <w:szCs w:val="30"/>
    </w:rPr>
  </w:style>
  <w:style w:type="paragraph" w:styleId="3">
    <w:name w:val="toc 5"/>
    <w:basedOn w:val="1"/>
    <w:next w:val="1"/>
    <w:qFormat/>
    <w:uiPriority w:val="0"/>
    <w:pPr>
      <w:ind w:left="1680" w:leftChars="800"/>
    </w:pPr>
    <w:rPr>
      <w:rFonts w:ascii="Times New Roman" w:hAnsi="Times New Roman" w:eastAsia="宋体" w:cs="Times New Roman"/>
    </w:rPr>
  </w:style>
  <w:style w:type="paragraph" w:styleId="7">
    <w:name w:val="Normal Indent"/>
    <w:basedOn w:val="1"/>
    <w:qFormat/>
    <w:uiPriority w:val="0"/>
    <w:pPr>
      <w:ind w:firstLine="420" w:firstLineChars="200"/>
    </w:pPr>
  </w:style>
  <w:style w:type="paragraph" w:styleId="8">
    <w:name w:val="annotation text"/>
    <w:basedOn w:val="1"/>
    <w:qFormat/>
    <w:uiPriority w:val="0"/>
  </w:style>
  <w:style w:type="paragraph" w:styleId="9">
    <w:name w:val="toc 3"/>
    <w:basedOn w:val="1"/>
    <w:next w:val="1"/>
    <w:qFormat/>
    <w:uiPriority w:val="0"/>
    <w:pPr>
      <w:ind w:left="840" w:leftChars="400"/>
    </w:pPr>
  </w:style>
  <w:style w:type="paragraph" w:styleId="10">
    <w:name w:val="Body Text Indent 2"/>
    <w:basedOn w:val="1"/>
    <w:unhideWhenUsed/>
    <w:qFormat/>
    <w:uiPriority w:val="99"/>
    <w:pPr>
      <w:spacing w:after="120" w:line="480" w:lineRule="auto"/>
      <w:ind w:left="420" w:leftChars="200"/>
    </w:p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pPr>
    <w:rPr>
      <w:rFonts w:cs="Times New Roman"/>
      <w:sz w:val="24"/>
      <w:lang w:eastAsia="zh-CN"/>
    </w:rPr>
  </w:style>
  <w:style w:type="table" w:styleId="17">
    <w:name w:val="Table Grid"/>
    <w:basedOn w:val="16"/>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Normal Indent_21771e1f-29b5-4388-b870-3ea9bb06db85"/>
    <w:basedOn w:val="1"/>
    <w:qFormat/>
    <w:uiPriority w:val="0"/>
    <w:pPr>
      <w:spacing w:line="300" w:lineRule="auto"/>
      <w:ind w:firstLine="556"/>
    </w:pPr>
    <w:rPr>
      <w:rFonts w:ascii="方正仿宋_GB2312"/>
    </w:rPr>
  </w:style>
  <w:style w:type="paragraph" w:customStyle="1" w:styleId="22">
    <w:name w:val="NormalIndent"/>
    <w:basedOn w:val="1"/>
    <w:next w:val="1"/>
    <w:qFormat/>
    <w:uiPriority w:val="0"/>
    <w:pPr>
      <w:ind w:firstLine="420" w:firstLineChars="200"/>
    </w:pPr>
    <w:rPr>
      <w:rFonts w:ascii="Calibri" w:hAnsi="Calibri" w:eastAsia="宋体"/>
    </w:rPr>
  </w:style>
  <w:style w:type="paragraph" w:customStyle="1" w:styleId="23">
    <w:name w:val="Table Paragraph"/>
    <w:basedOn w:val="1"/>
    <w:qFormat/>
    <w:uiPriority w:val="1"/>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仿宋" w:hAnsi="仿宋" w:eastAsia="仿宋" w:cs="仿宋"/>
      <w:sz w:val="28"/>
      <w:szCs w:val="28"/>
    </w:rPr>
  </w:style>
  <w:style w:type="character" w:customStyle="1" w:styleId="26">
    <w:name w:val="font11"/>
    <w:basedOn w:val="18"/>
    <w:qFormat/>
    <w:uiPriority w:val="0"/>
    <w:rPr>
      <w:rFonts w:hint="default" w:ascii="Times New Roman" w:hAnsi="Times New Roman" w:cs="Times New Roman"/>
      <w:b/>
      <w:bCs/>
      <w:color w:val="000000"/>
      <w:sz w:val="28"/>
      <w:szCs w:val="28"/>
      <w:u w:val="none"/>
    </w:rPr>
  </w:style>
  <w:style w:type="character" w:customStyle="1" w:styleId="27">
    <w:name w:val="font61"/>
    <w:basedOn w:val="18"/>
    <w:qFormat/>
    <w:uiPriority w:val="0"/>
    <w:rPr>
      <w:rFonts w:hint="default" w:ascii="Times New Roman" w:hAnsi="Times New Roman" w:cs="Times New Roman"/>
      <w:b/>
      <w:bCs/>
      <w:color w:val="000000"/>
      <w:sz w:val="24"/>
      <w:szCs w:val="24"/>
      <w:u w:val="none"/>
    </w:rPr>
  </w:style>
  <w:style w:type="character" w:customStyle="1" w:styleId="28">
    <w:name w:val="font31"/>
    <w:basedOn w:val="18"/>
    <w:qFormat/>
    <w:uiPriority w:val="0"/>
    <w:rPr>
      <w:rFonts w:hint="default" w:ascii="方正仿宋_GBK" w:hAnsi="方正仿宋_GBK" w:eastAsia="方正仿宋_GBK" w:cs="方正仿宋_GBK"/>
      <w:b/>
      <w:bCs/>
      <w:color w:val="000000"/>
      <w:sz w:val="24"/>
      <w:szCs w:val="24"/>
      <w:u w:val="none"/>
    </w:rPr>
  </w:style>
  <w:style w:type="character" w:customStyle="1" w:styleId="29">
    <w:name w:val="font71"/>
    <w:basedOn w:val="18"/>
    <w:qFormat/>
    <w:uiPriority w:val="0"/>
    <w:rPr>
      <w:rFonts w:hint="default" w:ascii="方正仿宋_GBK" w:hAnsi="方正仿宋_GBK" w:eastAsia="方正仿宋_GBK" w:cs="方正仿宋_GBK"/>
      <w:color w:val="000000"/>
      <w:sz w:val="24"/>
      <w:szCs w:val="24"/>
      <w:u w:val="none"/>
    </w:rPr>
  </w:style>
  <w:style w:type="character" w:customStyle="1" w:styleId="30">
    <w:name w:val="font21"/>
    <w:basedOn w:val="18"/>
    <w:qFormat/>
    <w:uiPriority w:val="0"/>
    <w:rPr>
      <w:rFonts w:hint="eastAsia" w:ascii="方正仿宋_GBK" w:hAnsi="方正仿宋_GBK" w:eastAsia="方正仿宋_GBK" w:cs="方正仿宋_GBK"/>
      <w:color w:val="000000"/>
      <w:sz w:val="21"/>
      <w:szCs w:val="21"/>
      <w:u w:val="none"/>
    </w:rPr>
  </w:style>
  <w:style w:type="paragraph" w:customStyle="1" w:styleId="31">
    <w:name w:val="公文二级标题"/>
    <w:basedOn w:val="1"/>
    <w:qFormat/>
    <w:uiPriority w:val="0"/>
    <w:pPr>
      <w:keepNext/>
      <w:keepLines/>
      <w:spacing w:line="560" w:lineRule="exact"/>
      <w:outlineLvl w:val="0"/>
    </w:pPr>
    <w:rPr>
      <w:rFonts w:eastAsia="楷体" w:asciiTheme="minorHAnsi" w:hAnsiTheme="minorHAnsi"/>
      <w:b/>
      <w:bCs/>
      <w:kern w:val="44"/>
      <w:szCs w:val="44"/>
    </w:rPr>
  </w:style>
  <w:style w:type="paragraph" w:customStyle="1" w:styleId="32">
    <w:name w:val="公文一级标题"/>
    <w:basedOn w:val="1"/>
    <w:next w:val="1"/>
    <w:qFormat/>
    <w:uiPriority w:val="0"/>
    <w:pPr>
      <w:keepNext/>
      <w:keepLines/>
      <w:spacing w:before="340" w:after="330" w:line="578" w:lineRule="auto"/>
      <w:outlineLvl w:val="0"/>
    </w:pPr>
    <w:rPr>
      <w:rFonts w:eastAsia="黑体"/>
      <w:b/>
      <w:bCs/>
      <w:kern w:val="44"/>
      <w:szCs w:val="44"/>
    </w:rPr>
  </w:style>
  <w:style w:type="paragraph" w:customStyle="1" w:styleId="33">
    <w:name w:val="标准文件_段"/>
    <w:qFormat/>
    <w:uiPriority w:val="0"/>
    <w:pPr>
      <w:ind w:firstLine="960" w:firstLineChars="200"/>
      <w:jc w:val="both"/>
    </w:pPr>
    <w:rPr>
      <w:rFonts w:hint="eastAsia" w:ascii="宋体" w:hAnsi="Times New Roman" w:eastAsia="宋体" w:cs="宋体"/>
      <w:sz w:val="21"/>
      <w:lang w:val="en-US" w:eastAsia="zh-CN" w:bidi="ar-SA"/>
    </w:rPr>
  </w:style>
  <w:style w:type="paragraph" w:customStyle="1" w:styleId="34">
    <w:name w:val="二级条标题"/>
    <w:basedOn w:val="35"/>
    <w:next w:val="36"/>
    <w:qFormat/>
    <w:uiPriority w:val="0"/>
    <w:pPr>
      <w:numPr>
        <w:ilvl w:val="2"/>
      </w:numPr>
      <w:spacing w:before="50" w:after="50"/>
      <w:outlineLvl w:val="3"/>
    </w:pPr>
  </w:style>
  <w:style w:type="paragraph" w:customStyle="1" w:styleId="35">
    <w:name w:val="一级条标题"/>
    <w:next w:val="36"/>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3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37">
    <w:name w:val="正文仿宋"/>
    <w:basedOn w:val="1"/>
    <w:qFormat/>
    <w:uiPriority w:val="0"/>
    <w:pPr>
      <w:ind w:firstLine="200" w:firstLineChars="200"/>
    </w:pPr>
    <w:rPr>
      <w:rFonts w:ascii="Times New Roman" w:hAnsi="Times New Roman" w:eastAsia="方正仿宋_GB2312" w:cs="Times New Roman"/>
      <w:sz w:val="28"/>
    </w:rPr>
  </w:style>
  <w:style w:type="paragraph" w:customStyle="1" w:styleId="38">
    <w:name w:val="标准文件_二级条标题"/>
    <w:next w:val="33"/>
    <w:qFormat/>
    <w:uiPriority w:val="0"/>
    <w:pPr>
      <w:numPr>
        <w:ilvl w:val="2"/>
        <w:numId w:val="2"/>
      </w:numPr>
      <w:spacing w:before="157" w:beforeLines="50" w:after="157" w:afterLines="50"/>
      <w:jc w:val="both"/>
      <w:outlineLvl w:val="2"/>
    </w:pPr>
    <w:rPr>
      <w:rFonts w:hint="eastAsia" w:ascii="黑体" w:hAnsi="黑体" w:eastAsia="黑体" w:cs="黑体"/>
      <w:sz w:val="21"/>
      <w:lang w:val="en-US" w:eastAsia="zh-CN" w:bidi="ar-SA"/>
    </w:rPr>
  </w:style>
  <w:style w:type="character" w:customStyle="1" w:styleId="39">
    <w:name w:val="font91"/>
    <w:basedOn w:val="18"/>
    <w:qFormat/>
    <w:uiPriority w:val="0"/>
    <w:rPr>
      <w:rFonts w:ascii="Arial" w:hAnsi="Arial" w:cs="Arial"/>
      <w:color w:val="000000"/>
      <w:sz w:val="21"/>
      <w:szCs w:val="21"/>
      <w:u w:val="none"/>
    </w:rPr>
  </w:style>
  <w:style w:type="paragraph" w:customStyle="1" w:styleId="40">
    <w:name w:val="Revision"/>
    <w:hidden/>
    <w:unhideWhenUsed/>
    <w:qFormat/>
    <w:uiPriority w:val="99"/>
    <w:rPr>
      <w:rFonts w:ascii="宋体" w:hAnsi="宋体" w:eastAsia="方正仿宋_GBK" w:cs="宋体"/>
      <w:snapToGrid w:val="0"/>
      <w:color w:val="000000"/>
      <w:sz w:val="32"/>
      <w:szCs w:val="32"/>
      <w:lang w:val="en-US" w:eastAsia="en-US" w:bidi="ar-SA"/>
    </w:rPr>
  </w:style>
  <w:style w:type="character" w:customStyle="1" w:styleId="41">
    <w:name w:val="标题 2 Char"/>
    <w:link w:val="5"/>
    <w:qFormat/>
    <w:uiPriority w:val="0"/>
    <w:rPr>
      <w:rFonts w:eastAsia="黑体"/>
      <w:b/>
    </w:rPr>
  </w:style>
  <w:style w:type="paragraph" w:customStyle="1" w:styleId="42">
    <w:name w:val="附录标识"/>
    <w:basedOn w:val="1"/>
    <w:next w:val="36"/>
    <w:qFormat/>
    <w:uiPriority w:val="0"/>
    <w:pPr>
      <w:keepNext/>
      <w:widowControl/>
      <w:numPr>
        <w:ilvl w:val="0"/>
        <w:numId w:val="3"/>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43">
    <w:name w:val="OfficialDoc.Body"/>
    <w:basedOn w:val="1"/>
    <w:qFormat/>
    <w:uiPriority w:val="98"/>
    <w:pPr>
      <w:snapToGrid w:val="0"/>
      <w:spacing w:line="600" w:lineRule="exact"/>
      <w:ind w:firstLine="420" w:firstLineChars="200"/>
    </w:pPr>
    <w:rPr>
      <w:rFonts w:ascii="宋体" w:eastAsia="方正仿宋_GBK"/>
      <w:snapToGrid w:val="0"/>
      <w:sz w:val="32"/>
    </w:rPr>
  </w:style>
  <w:style w:type="character" w:customStyle="1" w:styleId="44">
    <w:name w:val="OfficialDoc.Text.Body"/>
    <w:basedOn w:val="18"/>
    <w:qFormat/>
    <w:uiPriority w:val="98"/>
    <w:rPr>
      <w:rFonts w:ascii="宋体" w:eastAsia="方正仿宋_GBK"/>
      <w:sz w:val="32"/>
    </w:rPr>
  </w:style>
  <w:style w:type="paragraph" w:customStyle="1" w:styleId="45">
    <w:name w:val="p0"/>
    <w:basedOn w:val="1"/>
    <w:qFormat/>
    <w:uiPriority w:val="0"/>
    <w:pPr>
      <w:widowControl/>
    </w:pPr>
    <w:rPr>
      <w:kern w:val="0"/>
      <w:szCs w:val="21"/>
    </w:rPr>
  </w:style>
  <w:style w:type="paragraph" w:customStyle="1" w:styleId="46">
    <w:name w:val="Normal Indent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1987</Words>
  <Characters>2131</Characters>
  <Lines>296</Lines>
  <Paragraphs>83</Paragraphs>
  <TotalTime>50</TotalTime>
  <ScaleCrop>false</ScaleCrop>
  <LinksUpToDate>false</LinksUpToDate>
  <CharactersWithSpaces>2133</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2025-08-14T10:42:00Z</dcterms:created>
  <dc:creator>徐昀</dc:creator>
  <cp:lastModifiedBy>kylin</cp:lastModifiedBy>
  <cp:lastPrinted>2026-10-15T18:18:00Z</cp:lastPrinted>
  <dcterms:modified xsi:type="dcterms:W3CDTF">2026-10-15T11:20:28Z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C60421BA6DFE36DC2C26D06A8D3C2FBD</vt:lpwstr>
  </property>
  <property fmtid="{D5CDD505-2E9C-101B-9397-08002B2CF9AE}" pid="4" name="KSOTemplateDocerSaveRecord">
    <vt:lpwstr>eyJoZGlkIjoiYTEwNWRmYjJkZWZiN2I5MDU3MzBlYTFhMDI2ZmFjMTIiLCJ1c2VySWQiOiIxNTEyNjYxNjA0In0=</vt:lpwstr>
  </property>
</Properties>
</file>